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3635" w14:textId="2DB73465" w:rsidR="00A9713F" w:rsidRPr="00072406" w:rsidRDefault="00A9713F" w:rsidP="005E752B">
      <w:pPr>
        <w:suppressAutoHyphens/>
        <w:autoSpaceDN w:val="0"/>
        <w:spacing w:after="120" w:line="276" w:lineRule="auto"/>
        <w:jc w:val="both"/>
        <w:textAlignment w:val="baseline"/>
        <w:rPr>
          <w:rFonts w:ascii="Calibri" w:eastAsia="SimSun" w:hAnsi="Calibri" w:cs="F"/>
          <w:b/>
          <w:kern w:val="3"/>
          <w:sz w:val="32"/>
          <w:szCs w:val="32"/>
          <w:lang w:eastAsia="en-US"/>
        </w:rPr>
      </w:pPr>
      <w:r w:rsidRPr="00072406">
        <w:rPr>
          <w:rFonts w:ascii="Calibri" w:eastAsia="SimSun" w:hAnsi="Calibri" w:cs="F"/>
          <w:b/>
          <w:kern w:val="3"/>
          <w:sz w:val="32"/>
          <w:szCs w:val="32"/>
          <w:lang w:eastAsia="en-US"/>
        </w:rPr>
        <w:t>Zapytanie Ofertowe nr</w:t>
      </w:r>
      <w:r w:rsidR="008D7B62" w:rsidRPr="00072406">
        <w:rPr>
          <w:rFonts w:ascii="Calibri" w:eastAsia="SimSun" w:hAnsi="Calibri" w:cs="F"/>
          <w:b/>
          <w:kern w:val="3"/>
          <w:sz w:val="32"/>
          <w:szCs w:val="32"/>
          <w:lang w:eastAsia="en-US"/>
        </w:rPr>
        <w:t xml:space="preserve"> </w:t>
      </w:r>
      <w:r w:rsidR="006238C9">
        <w:rPr>
          <w:rFonts w:ascii="Calibri" w:eastAsia="SimSun" w:hAnsi="Calibri" w:cs="F"/>
          <w:b/>
          <w:kern w:val="3"/>
          <w:sz w:val="32"/>
          <w:szCs w:val="32"/>
          <w:lang w:eastAsia="en-US"/>
        </w:rPr>
        <w:t>2/2020</w:t>
      </w:r>
    </w:p>
    <w:p w14:paraId="405649FF" w14:textId="77777777" w:rsidR="00A9713F" w:rsidRPr="00072406" w:rsidRDefault="00A9713F" w:rsidP="005E752B">
      <w:pPr>
        <w:suppressAutoHyphens/>
        <w:autoSpaceDN w:val="0"/>
        <w:spacing w:after="120" w:line="276" w:lineRule="auto"/>
        <w:jc w:val="both"/>
        <w:textAlignment w:val="baseline"/>
        <w:rPr>
          <w:rFonts w:ascii="Calibri" w:eastAsia="SimSun" w:hAnsi="Calibri" w:cs="F"/>
          <w:kern w:val="3"/>
          <w:sz w:val="32"/>
          <w:szCs w:val="32"/>
          <w:lang w:eastAsia="en-US"/>
        </w:rPr>
      </w:pPr>
      <w:r w:rsidRPr="00072406">
        <w:rPr>
          <w:rFonts w:ascii="Calibri" w:eastAsia="SimSun" w:hAnsi="Calibri" w:cs="F"/>
          <w:b/>
          <w:kern w:val="3"/>
          <w:sz w:val="32"/>
          <w:szCs w:val="32"/>
          <w:lang w:eastAsia="en-US"/>
        </w:rPr>
        <w:t xml:space="preserve">Załącznik nr </w:t>
      </w:r>
      <w:r w:rsidR="00430AE0">
        <w:rPr>
          <w:rFonts w:ascii="Calibri" w:eastAsia="SimSun" w:hAnsi="Calibri" w:cs="F"/>
          <w:b/>
          <w:kern w:val="3"/>
          <w:sz w:val="32"/>
          <w:szCs w:val="32"/>
          <w:lang w:eastAsia="en-US"/>
        </w:rPr>
        <w:t>4</w:t>
      </w:r>
      <w:r w:rsidR="004855C0" w:rsidRPr="00072406">
        <w:rPr>
          <w:rFonts w:ascii="Calibri" w:eastAsia="SimSun" w:hAnsi="Calibri" w:cs="F"/>
          <w:b/>
          <w:kern w:val="3"/>
          <w:sz w:val="32"/>
          <w:szCs w:val="32"/>
          <w:lang w:eastAsia="en-US"/>
        </w:rPr>
        <w:t xml:space="preserve"> </w:t>
      </w:r>
      <w:r w:rsidRPr="00072406">
        <w:rPr>
          <w:rFonts w:ascii="Calibri" w:eastAsia="SimSun" w:hAnsi="Calibri" w:cs="F"/>
          <w:b/>
          <w:kern w:val="3"/>
          <w:sz w:val="32"/>
          <w:szCs w:val="32"/>
          <w:lang w:eastAsia="en-US"/>
        </w:rPr>
        <w:t>- Uszczegółowienie</w:t>
      </w:r>
      <w:r w:rsidR="00384E24" w:rsidRPr="00072406">
        <w:rPr>
          <w:rFonts w:ascii="Calibri" w:eastAsia="SimSun" w:hAnsi="Calibri" w:cs="F"/>
          <w:b/>
          <w:kern w:val="3"/>
          <w:sz w:val="32"/>
          <w:szCs w:val="32"/>
          <w:lang w:eastAsia="en-US"/>
        </w:rPr>
        <w:t xml:space="preserve"> Zapytania ofertowego</w:t>
      </w:r>
    </w:p>
    <w:p w14:paraId="4961A510"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kern w:val="3"/>
          <w:sz w:val="28"/>
          <w:szCs w:val="28"/>
          <w:lang w:eastAsia="en-US"/>
        </w:rPr>
      </w:pPr>
      <w:r w:rsidRPr="00072406">
        <w:rPr>
          <w:rFonts w:ascii="Calibri" w:eastAsia="SimSun" w:hAnsi="Calibri" w:cs="F"/>
          <w:b/>
          <w:kern w:val="3"/>
          <w:sz w:val="28"/>
          <w:szCs w:val="28"/>
          <w:lang w:eastAsia="en-US"/>
        </w:rPr>
        <w:t>Zamawiający</w:t>
      </w:r>
    </w:p>
    <w:p w14:paraId="42062018" w14:textId="77777777" w:rsidR="00A9713F" w:rsidRPr="00072406" w:rsidRDefault="00A9713F" w:rsidP="005E752B">
      <w:pPr>
        <w:widowControl w:val="0"/>
        <w:numPr>
          <w:ilvl w:val="0"/>
          <w:numId w:val="12"/>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Firma i adres zamawiającego</w:t>
      </w:r>
    </w:p>
    <w:p w14:paraId="000A04ED" w14:textId="77777777" w:rsidR="003A3B8C" w:rsidRPr="003A3B8C" w:rsidRDefault="003A3B8C" w:rsidP="003A3B8C">
      <w:pPr>
        <w:pStyle w:val="Tekstpodstawowy"/>
        <w:kinsoku w:val="0"/>
        <w:overflowPunct w:val="0"/>
        <w:spacing w:line="276" w:lineRule="auto"/>
        <w:ind w:left="360"/>
        <w:jc w:val="both"/>
      </w:pPr>
      <w:bookmarkStart w:id="0" w:name="_Hlk8813712"/>
      <w:r w:rsidRPr="003A3B8C">
        <w:t>Horsetrans Muraczewski Spółka Jawna</w:t>
      </w:r>
    </w:p>
    <w:p w14:paraId="1B6BA129" w14:textId="77777777" w:rsidR="003A3B8C" w:rsidRPr="003A3B8C" w:rsidRDefault="003A3B8C" w:rsidP="003A3B8C">
      <w:pPr>
        <w:pStyle w:val="Tekstpodstawowy"/>
        <w:kinsoku w:val="0"/>
        <w:overflowPunct w:val="0"/>
        <w:spacing w:line="276" w:lineRule="auto"/>
        <w:ind w:left="360"/>
        <w:jc w:val="both"/>
      </w:pPr>
      <w:r w:rsidRPr="003A3B8C">
        <w:t>Ul. Józefa Chełmońskiego 7</w:t>
      </w:r>
    </w:p>
    <w:p w14:paraId="0B126A0E" w14:textId="77777777" w:rsidR="003A3B8C" w:rsidRPr="003A3B8C" w:rsidRDefault="003A3B8C" w:rsidP="003A3B8C">
      <w:pPr>
        <w:pStyle w:val="Tekstpodstawowy"/>
        <w:kinsoku w:val="0"/>
        <w:overflowPunct w:val="0"/>
        <w:spacing w:line="276" w:lineRule="auto"/>
        <w:ind w:left="360"/>
        <w:jc w:val="both"/>
      </w:pPr>
      <w:r w:rsidRPr="003A3B8C">
        <w:t>62-590 Węglew</w:t>
      </w:r>
    </w:p>
    <w:p w14:paraId="5C7B5920" w14:textId="77777777" w:rsidR="003A3B8C" w:rsidRPr="003A3B8C" w:rsidRDefault="003A3B8C" w:rsidP="003A3B8C">
      <w:pPr>
        <w:pStyle w:val="Tekstpodstawowy"/>
        <w:kinsoku w:val="0"/>
        <w:overflowPunct w:val="0"/>
        <w:spacing w:line="276" w:lineRule="auto"/>
        <w:ind w:left="360"/>
        <w:jc w:val="both"/>
        <w:rPr>
          <w:rFonts w:eastAsia="SimSun" w:cs="F"/>
          <w:kern w:val="3"/>
          <w:lang w:eastAsia="en-US"/>
        </w:rPr>
      </w:pPr>
      <w:r w:rsidRPr="003A3B8C">
        <w:t>Golina</w:t>
      </w:r>
      <w:r w:rsidRPr="003A3B8C">
        <w:rPr>
          <w:rFonts w:eastAsia="SimSun" w:cs="F"/>
          <w:kern w:val="3"/>
          <w:lang w:eastAsia="en-US"/>
        </w:rPr>
        <w:t xml:space="preserve"> </w:t>
      </w:r>
    </w:p>
    <w:bookmarkEnd w:id="0"/>
    <w:p w14:paraId="031709C1"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o postępowaniu</w:t>
      </w:r>
    </w:p>
    <w:p w14:paraId="25DDDE86"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Tytuł i sygnatura postępowania</w:t>
      </w:r>
    </w:p>
    <w:p w14:paraId="4BAE710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Tytuł postępowania:</w:t>
      </w:r>
    </w:p>
    <w:p w14:paraId="7E32184A" w14:textId="2E2DC699" w:rsidR="005E11C7" w:rsidRPr="002267EF" w:rsidRDefault="007F2D54" w:rsidP="002267EF">
      <w:pPr>
        <w:suppressAutoHyphens/>
        <w:autoSpaceDN w:val="0"/>
        <w:spacing w:after="120" w:line="276" w:lineRule="auto"/>
        <w:ind w:left="426"/>
        <w:jc w:val="both"/>
        <w:textAlignment w:val="baseline"/>
        <w:rPr>
          <w:rFonts w:ascii="Calibri" w:hAnsi="Calibri"/>
          <w:b/>
          <w:bCs/>
          <w:sz w:val="22"/>
          <w:szCs w:val="22"/>
        </w:rPr>
      </w:pPr>
      <w:bookmarkStart w:id="1" w:name="_Hlk500771281"/>
      <w:r w:rsidRPr="007F2D54">
        <w:rPr>
          <w:rFonts w:ascii="Calibri" w:hAnsi="Calibri"/>
          <w:b/>
          <w:bCs/>
          <w:sz w:val="22"/>
          <w:szCs w:val="22"/>
        </w:rPr>
        <w:t>„</w:t>
      </w:r>
      <w:r w:rsidR="006238C9" w:rsidRPr="006238C9">
        <w:rPr>
          <w:rFonts w:ascii="Calibri" w:hAnsi="Calibri"/>
          <w:b/>
          <w:bCs/>
          <w:sz w:val="22"/>
          <w:szCs w:val="22"/>
        </w:rPr>
        <w:t>Budowa hali montażowo - magazynowej z zapleczem socjalnym: roboty w zakresie branży elektrycznej.”</w:t>
      </w:r>
    </w:p>
    <w:bookmarkEnd w:id="1"/>
    <w:p w14:paraId="62DAC26C"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Sygnatura postępowania nadana przez Zamawiającego:</w:t>
      </w:r>
    </w:p>
    <w:p w14:paraId="7D6186AB" w14:textId="1BB5C2BD" w:rsidR="00697DA6" w:rsidRDefault="006238C9" w:rsidP="00697DA6">
      <w:pPr>
        <w:suppressAutoHyphens/>
        <w:autoSpaceDN w:val="0"/>
        <w:spacing w:after="120" w:line="276" w:lineRule="auto"/>
        <w:ind w:left="426"/>
        <w:jc w:val="both"/>
        <w:textAlignment w:val="baseline"/>
        <w:rPr>
          <w:rFonts w:ascii="Calibri" w:eastAsia="SimSun" w:hAnsi="Calibri" w:cs="F"/>
          <w:b/>
          <w:kern w:val="3"/>
          <w:sz w:val="22"/>
          <w:szCs w:val="22"/>
          <w:lang w:eastAsia="en-US"/>
        </w:rPr>
      </w:pPr>
      <w:r>
        <w:rPr>
          <w:rFonts w:ascii="Calibri" w:eastAsia="SimSun" w:hAnsi="Calibri" w:cs="F"/>
          <w:b/>
          <w:kern w:val="3"/>
          <w:sz w:val="22"/>
          <w:szCs w:val="22"/>
          <w:lang w:eastAsia="en-US"/>
        </w:rPr>
        <w:t>2/2020</w:t>
      </w:r>
    </w:p>
    <w:p w14:paraId="21783B5E" w14:textId="77777777" w:rsidR="00030975" w:rsidRPr="00697DA6" w:rsidRDefault="00A9713F" w:rsidP="00697DA6">
      <w:pPr>
        <w:suppressAutoHyphens/>
        <w:autoSpaceDN w:val="0"/>
        <w:spacing w:after="120" w:line="276" w:lineRule="auto"/>
        <w:ind w:left="426"/>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 xml:space="preserve">We wszystkich kontaktach z Zamawiającym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ykonawcy powinni powoływać się na wskazaną </w:t>
      </w:r>
      <w:r w:rsidRPr="00072406">
        <w:rPr>
          <w:rFonts w:ascii="Calibri" w:eastAsia="SimSun" w:hAnsi="Calibri" w:cs="F"/>
          <w:kern w:val="3"/>
          <w:sz w:val="22"/>
          <w:szCs w:val="22"/>
          <w:lang w:eastAsia="en-US"/>
        </w:rPr>
        <w:br/>
        <w:t>w pkt 2.2. sygnaturę postępowania.</w:t>
      </w:r>
    </w:p>
    <w:p w14:paraId="1C8A58B2"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072406">
        <w:rPr>
          <w:rFonts w:ascii="Calibri" w:eastAsia="SimSun" w:hAnsi="Calibri" w:cs="F"/>
          <w:b/>
          <w:kern w:val="3"/>
          <w:sz w:val="22"/>
          <w:szCs w:val="22"/>
          <w:lang w:eastAsia="en-US"/>
        </w:rPr>
        <w:t>Tryb udzielenia zamówienia</w:t>
      </w:r>
    </w:p>
    <w:p w14:paraId="02796C73" w14:textId="77777777" w:rsidR="00A90585" w:rsidRPr="00072406" w:rsidRDefault="00A90585"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Postępowanie prowadzone jest zgodnie z zasadą konkurencyjności, określoną w</w:t>
      </w:r>
      <w:r w:rsidR="0074691F"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Wytycznych w zakresie kwalifikowalności wydatków w ramach Europejskiego Funduszu Rozwoju Regionalnego, Europejskiego Funduszu Społecznego oraz Funduszu Spójności na lata 2014-2020 (dalej: „Wytyczne horyzontalne”)</w:t>
      </w:r>
      <w:r w:rsidR="0074691F" w:rsidRPr="00072406">
        <w:rPr>
          <w:rFonts w:ascii="Calibri" w:eastAsia="SimSun" w:hAnsi="Calibri" w:cs="F"/>
          <w:kern w:val="3"/>
          <w:sz w:val="22"/>
          <w:szCs w:val="22"/>
          <w:lang w:eastAsia="en-US"/>
        </w:rPr>
        <w:t>.</w:t>
      </w:r>
    </w:p>
    <w:p w14:paraId="07422BB5" w14:textId="747D4546" w:rsidR="00A90585" w:rsidRPr="00072406" w:rsidRDefault="00A90585"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bookmarkStart w:id="2" w:name="_Hlk8912458"/>
      <w:r w:rsidRPr="00072406">
        <w:rPr>
          <w:rFonts w:ascii="Calibri" w:eastAsia="SimSun" w:hAnsi="Calibri" w:cs="F"/>
          <w:kern w:val="3"/>
          <w:sz w:val="22"/>
          <w:szCs w:val="22"/>
          <w:lang w:eastAsia="en-US"/>
        </w:rPr>
        <w:t>Do postępowania nie znajdują zastosowania przepisy ustawy z dnia 29 stycznia 2004 r. - Prawo zamówień publicznych</w:t>
      </w:r>
      <w:r w:rsidR="006238C9">
        <w:rPr>
          <w:rFonts w:ascii="Calibri" w:eastAsia="SimSun" w:hAnsi="Calibri" w:cs="F"/>
          <w:kern w:val="3"/>
          <w:sz w:val="22"/>
          <w:szCs w:val="22"/>
          <w:lang w:eastAsia="en-US"/>
        </w:rPr>
        <w:t>.</w:t>
      </w:r>
    </w:p>
    <w:bookmarkEnd w:id="2"/>
    <w:p w14:paraId="10936D8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Zmiana lub wycofanie oferty</w:t>
      </w:r>
    </w:p>
    <w:p w14:paraId="02DD1240" w14:textId="77777777" w:rsidR="006607DF" w:rsidRPr="00072406" w:rsidRDefault="006607DF" w:rsidP="005E752B">
      <w:pPr>
        <w:widowControl w:val="0"/>
        <w:numPr>
          <w:ilvl w:val="1"/>
          <w:numId w:val="14"/>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może wprowadzić zmiany lub wycofać złożoną przez siebie ofertę przed terminem składania ofert:</w:t>
      </w:r>
    </w:p>
    <w:p w14:paraId="7611D968" w14:textId="77777777" w:rsidR="006607DF" w:rsidRPr="00072406" w:rsidRDefault="006607DF" w:rsidP="00291E4F">
      <w:pPr>
        <w:widowControl w:val="0"/>
        <w:numPr>
          <w:ilvl w:val="0"/>
          <w:numId w:val="26"/>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wycofania oferty,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ykonawca składa pisemne oświadczenie, że ofertę swą wycofuje, z dopiskiem „Wycofanie”,</w:t>
      </w:r>
    </w:p>
    <w:p w14:paraId="25CE5D2A" w14:textId="77777777" w:rsidR="006607DF" w:rsidRPr="00072406" w:rsidRDefault="006607DF" w:rsidP="00291E4F">
      <w:pPr>
        <w:widowControl w:val="0"/>
        <w:numPr>
          <w:ilvl w:val="0"/>
          <w:numId w:val="26"/>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zmiany oferty,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składa pisemne oświadczenie, iż ofertę swą zmienia, określając zakres i rodzaj tych zmian, a jeśli oświadczenie o zmianie pociąga za sobą konieczność wymiany czy też przedłożenia nowych dokumentów -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ykonawca dokumenty te załącza do oświadczenia. Powyższe oświadczenie i ewentualne dokumenty należy złożyć z dopiskiem „Zmiana”.</w:t>
      </w:r>
    </w:p>
    <w:p w14:paraId="78D8D61E" w14:textId="77777777" w:rsidR="006607DF" w:rsidRPr="00072406" w:rsidRDefault="006607DF" w:rsidP="005E752B">
      <w:pPr>
        <w:widowControl w:val="0"/>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lastRenderedPageBreak/>
        <w:t>Zamawiający dopuszcza złożenie za pośrednictwem poczty elektronicznej skanów oświadczeń sporządzonych zgodnie z lit. a i b powyżej.</w:t>
      </w:r>
    </w:p>
    <w:p w14:paraId="319B3024"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nie może wprowadzić zmian do oferty ani wycofać jej po upływie terminu składania ofert.</w:t>
      </w:r>
    </w:p>
    <w:p w14:paraId="299296A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Otwarcie ofert</w:t>
      </w:r>
    </w:p>
    <w:p w14:paraId="77A9E8F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Otwarcie ofert nastąpi po upływie terminu składania ofert określonego w Zapytaniu.</w:t>
      </w:r>
    </w:p>
    <w:p w14:paraId="4C5A5DCF"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Oferty złożone w terminie zostaną otwarte jednocześnie.</w:t>
      </w:r>
    </w:p>
    <w:p w14:paraId="41CDBC92"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Otwarcie ofert będzie miało charakter niejawny - nastąpi bez udziału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w:t>
      </w:r>
      <w:r w:rsidR="005A7A0D"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i publiczności.</w:t>
      </w:r>
    </w:p>
    <w:p w14:paraId="0CC7F5DF"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porozumiewania się w toku postępowania</w:t>
      </w:r>
    </w:p>
    <w:p w14:paraId="1853860F" w14:textId="77777777" w:rsidR="005A7A0D" w:rsidRPr="00B34309" w:rsidRDefault="005A7A0D" w:rsidP="00B3430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Oświadczenia, wnioski, zawiadomienia oraz wszelkie informacje Zamawiający oraz wykonawcy przekazują sobie pisemnie lub pocztą elektroniczną. Jeżeli Zamawiający lub wykonawca przekazują informacje pocztą elektroniczną, druga strona na żądanie nadawcy niezwłocznie potwierdza fakt ich otrzymania.</w:t>
      </w:r>
    </w:p>
    <w:p w14:paraId="574AB1A2" w14:textId="77777777" w:rsidR="005A7A0D" w:rsidRPr="00B34309" w:rsidRDefault="005A7A0D" w:rsidP="00B3430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Postępowanie jest prowadzone w języku polskim, w związku z tym wszelkie oświadczenia, zawiadomienia, zapytania, oferty itp. muszą być składane w języku polskim lub z tłumaczeniem na język polski.</w:t>
      </w:r>
    </w:p>
    <w:p w14:paraId="678D78EE"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Wyjaśnianie treści Zapytania</w:t>
      </w:r>
    </w:p>
    <w:p w14:paraId="39651D93"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może zwrócić się do Zamawiającego o wyjaśnienie treści Zapytania.</w:t>
      </w:r>
    </w:p>
    <w:p w14:paraId="772C6571" w14:textId="37C2139F"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udzieli wyjaśnień niezwłocznie, pod </w:t>
      </w:r>
      <w:r w:rsidR="006238C9" w:rsidRPr="00072406">
        <w:rPr>
          <w:rFonts w:ascii="Calibri" w:eastAsia="SimSun" w:hAnsi="Calibri" w:cs="F"/>
          <w:kern w:val="3"/>
          <w:sz w:val="22"/>
          <w:szCs w:val="22"/>
          <w:lang w:eastAsia="en-US"/>
        </w:rPr>
        <w:t>warunkiem,</w:t>
      </w:r>
      <w:r w:rsidRPr="00072406">
        <w:rPr>
          <w:rFonts w:ascii="Calibri" w:eastAsia="SimSun" w:hAnsi="Calibri" w:cs="F"/>
          <w:kern w:val="3"/>
          <w:sz w:val="22"/>
          <w:szCs w:val="22"/>
          <w:lang w:eastAsia="en-US"/>
        </w:rPr>
        <w:t xml:space="preserve"> że wniosek o wyjaśnienie treści Zapytania wpłynie do Zamawiającego w terminie umożliwiającym udzielenie odpowiedzi przed upływem terminu składania ofert.</w:t>
      </w:r>
    </w:p>
    <w:p w14:paraId="7D3CA678" w14:textId="5056A05F" w:rsidR="00F52384"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Treść wyjaśnień, bez podawania źródła zapytania, Zamawiający opublikuje</w:t>
      </w:r>
      <w:r w:rsidR="00371DDA" w:rsidRPr="00072406">
        <w:rPr>
          <w:rFonts w:ascii="Calibri" w:eastAsia="SimSun" w:hAnsi="Calibri" w:cs="F"/>
          <w:kern w:val="3"/>
          <w:sz w:val="22"/>
          <w:szCs w:val="22"/>
          <w:lang w:eastAsia="en-US"/>
        </w:rPr>
        <w:t xml:space="preserve"> w </w:t>
      </w:r>
      <w:r w:rsidR="00CC6BD2">
        <w:rPr>
          <w:rFonts w:ascii="Calibri" w:eastAsia="SimSun" w:hAnsi="Calibri" w:cs="F"/>
          <w:kern w:val="3"/>
          <w:sz w:val="22"/>
          <w:szCs w:val="22"/>
          <w:lang w:eastAsia="en-US"/>
        </w:rPr>
        <w:t>B</w:t>
      </w:r>
      <w:r w:rsidR="00CC6BD2" w:rsidRPr="00072406">
        <w:rPr>
          <w:rFonts w:ascii="Calibri" w:eastAsia="SimSun" w:hAnsi="Calibri" w:cs="F"/>
          <w:kern w:val="3"/>
          <w:sz w:val="22"/>
          <w:szCs w:val="22"/>
          <w:lang w:eastAsia="en-US"/>
        </w:rPr>
        <w:t xml:space="preserve">azie </w:t>
      </w:r>
      <w:r w:rsidR="00371DDA" w:rsidRPr="00072406">
        <w:rPr>
          <w:rFonts w:ascii="Calibri" w:eastAsia="SimSun" w:hAnsi="Calibri" w:cs="F"/>
          <w:kern w:val="3"/>
          <w:sz w:val="22"/>
          <w:szCs w:val="22"/>
          <w:lang w:eastAsia="en-US"/>
        </w:rPr>
        <w:t xml:space="preserve">konkurencyjności. </w:t>
      </w:r>
    </w:p>
    <w:p w14:paraId="1ACB44B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 xml:space="preserve">Zmiana Zapytania </w:t>
      </w:r>
    </w:p>
    <w:p w14:paraId="031771A8"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może dokonać zmiany treści Zapytania, w tym Załączników do Zapytania, </w:t>
      </w:r>
      <w:r w:rsidRPr="00072406">
        <w:rPr>
          <w:rFonts w:ascii="Calibri" w:eastAsia="SimSun" w:hAnsi="Calibri" w:cs="F"/>
          <w:kern w:val="3"/>
          <w:sz w:val="22"/>
          <w:szCs w:val="22"/>
          <w:lang w:eastAsia="en-US"/>
        </w:rPr>
        <w:br/>
        <w:t>w każdym czasie przed upływem terminu składania ofert.</w:t>
      </w:r>
    </w:p>
    <w:p w14:paraId="356FD95A" w14:textId="77777777" w:rsidR="00486A13"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Dokonaną zmianę Zapytania Zamawiający </w:t>
      </w:r>
      <w:r w:rsidR="00486A13" w:rsidRPr="00072406">
        <w:rPr>
          <w:rFonts w:ascii="Calibri" w:eastAsia="SimSun" w:hAnsi="Calibri" w:cs="F"/>
          <w:kern w:val="3"/>
          <w:sz w:val="22"/>
          <w:szCs w:val="22"/>
          <w:lang w:eastAsia="en-US"/>
        </w:rPr>
        <w:t xml:space="preserve">uwzględni w opublikowanym Zapytaniu. </w:t>
      </w:r>
    </w:p>
    <w:p w14:paraId="1EF228B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Jeżeli będzie to konieczne z uwagi na zakres wprowadzonych zmian, Zamawiający przedłuży termin składania ofert o czas niezbędny do wprowadzenia zmian w ofertach.</w:t>
      </w:r>
    </w:p>
    <w:p w14:paraId="4B0FD45C"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Wadium</w:t>
      </w:r>
    </w:p>
    <w:p w14:paraId="3952A0E5" w14:textId="77777777" w:rsidR="00ED5770" w:rsidRPr="00072406" w:rsidRDefault="00A9713F" w:rsidP="005E752B">
      <w:pPr>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nie wymaga wniesienia wadium.</w:t>
      </w:r>
    </w:p>
    <w:p w14:paraId="31F33201" w14:textId="0A178C79"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Oferta</w:t>
      </w:r>
    </w:p>
    <w:p w14:paraId="59D22EC6" w14:textId="77777777" w:rsidR="00444ED6"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obliczenia ceny</w:t>
      </w:r>
    </w:p>
    <w:p w14:paraId="5C2DFC38" w14:textId="77777777" w:rsidR="00280195" w:rsidRPr="00072406" w:rsidRDefault="00280195"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hAnsi="Calibri"/>
          <w:sz w:val="22"/>
          <w:szCs w:val="22"/>
        </w:rPr>
        <w:t xml:space="preserve">Na potrzeby oceny ofert </w:t>
      </w:r>
      <w:r w:rsidR="00996528" w:rsidRPr="00F3757E">
        <w:rPr>
          <w:rFonts w:ascii="Calibri" w:hAnsi="Calibri"/>
          <w:sz w:val="22"/>
          <w:szCs w:val="22"/>
        </w:rPr>
        <w:t>w</w:t>
      </w:r>
      <w:r w:rsidRPr="00F3757E">
        <w:rPr>
          <w:rFonts w:ascii="Calibri" w:hAnsi="Calibri"/>
          <w:sz w:val="22"/>
          <w:szCs w:val="22"/>
        </w:rPr>
        <w:t>ykonawca</w:t>
      </w:r>
      <w:r w:rsidRPr="00072406">
        <w:rPr>
          <w:rFonts w:ascii="Calibri" w:hAnsi="Calibri"/>
          <w:sz w:val="22"/>
          <w:szCs w:val="22"/>
        </w:rPr>
        <w:t xml:space="preserve"> powinien wskazać:</w:t>
      </w:r>
    </w:p>
    <w:p w14:paraId="6B31D126" w14:textId="77777777" w:rsidR="00280195" w:rsidRPr="00072406" w:rsidRDefault="00280195" w:rsidP="005E752B">
      <w:pPr>
        <w:pStyle w:val="Akapitzlist"/>
        <w:pBdr>
          <w:top w:val="nil"/>
          <w:left w:val="nil"/>
          <w:bottom w:val="nil"/>
          <w:right w:val="nil"/>
          <w:between w:val="nil"/>
          <w:bar w:val="nil"/>
        </w:pBdr>
        <w:tabs>
          <w:tab w:val="left" w:pos="8789"/>
        </w:tabs>
        <w:spacing w:after="120" w:line="259" w:lineRule="auto"/>
        <w:ind w:left="426"/>
        <w:contextualSpacing w:val="0"/>
        <w:jc w:val="both"/>
        <w:rPr>
          <w:rFonts w:ascii="Calibri" w:hAnsi="Calibri"/>
          <w:b/>
          <w:sz w:val="22"/>
          <w:szCs w:val="22"/>
        </w:rPr>
      </w:pPr>
      <w:r w:rsidRPr="00072406">
        <w:rPr>
          <w:rFonts w:ascii="Calibri" w:hAnsi="Calibri"/>
          <w:b/>
          <w:sz w:val="22"/>
          <w:szCs w:val="22"/>
        </w:rPr>
        <w:lastRenderedPageBreak/>
        <w:t>całkowitą cenę RYCZAŁTOWĄ brutto za wykonanie przedmiotu zamówienia („Cena</w:t>
      </w:r>
      <w:r w:rsidR="00662E35" w:rsidRPr="00072406">
        <w:rPr>
          <w:rFonts w:ascii="Calibri" w:hAnsi="Calibri"/>
          <w:b/>
          <w:sz w:val="22"/>
          <w:szCs w:val="22"/>
        </w:rPr>
        <w:t xml:space="preserve"> </w:t>
      </w:r>
      <w:r w:rsidRPr="00072406">
        <w:rPr>
          <w:rFonts w:ascii="Calibri" w:hAnsi="Calibri"/>
          <w:b/>
          <w:sz w:val="22"/>
          <w:szCs w:val="22"/>
        </w:rPr>
        <w:t>ofertowa”).</w:t>
      </w:r>
    </w:p>
    <w:p w14:paraId="713192B7" w14:textId="77777777" w:rsidR="000E0FA4" w:rsidRPr="00072406" w:rsidRDefault="000E0FA4"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hAnsi="Calibri"/>
          <w:sz w:val="22"/>
          <w:szCs w:val="22"/>
        </w:rPr>
        <w:t>W celu prawidłowego obliczenia ceny oferty należy w Formularzu ofertowym (Załącznik nr 1):</w:t>
      </w:r>
    </w:p>
    <w:p w14:paraId="15D676B0"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 xml:space="preserve">wpisać cenę ryczałtową netto, </w:t>
      </w:r>
    </w:p>
    <w:p w14:paraId="5F93E952"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wpisać stawkę podatku VAT,</w:t>
      </w:r>
    </w:p>
    <w:p w14:paraId="486ACF26"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podać wartość podatku VAT,</w:t>
      </w:r>
    </w:p>
    <w:p w14:paraId="4499AEE9" w14:textId="77777777" w:rsidR="000E0FA4" w:rsidRPr="00072406" w:rsidRDefault="0057570E" w:rsidP="005E752B">
      <w:pPr>
        <w:pStyle w:val="Akapitzlist"/>
        <w:numPr>
          <w:ilvl w:val="3"/>
          <w:numId w:val="22"/>
        </w:numPr>
        <w:pBdr>
          <w:top w:val="nil"/>
          <w:left w:val="nil"/>
          <w:bottom w:val="nil"/>
          <w:right w:val="nil"/>
          <w:between w:val="nil"/>
          <w:bar w:val="nil"/>
        </w:pBdr>
        <w:suppressAutoHyphens/>
        <w:spacing w:after="120" w:line="259" w:lineRule="auto"/>
        <w:ind w:left="1276"/>
        <w:contextualSpacing w:val="0"/>
        <w:jc w:val="both"/>
        <w:rPr>
          <w:rFonts w:ascii="Calibri" w:hAnsi="Calibri"/>
          <w:sz w:val="22"/>
          <w:szCs w:val="22"/>
        </w:rPr>
      </w:pPr>
      <w:r w:rsidRPr="00072406">
        <w:rPr>
          <w:rFonts w:ascii="Calibri" w:hAnsi="Calibri"/>
          <w:sz w:val="22"/>
          <w:szCs w:val="22"/>
        </w:rPr>
        <w:t xml:space="preserve">wpisać </w:t>
      </w:r>
      <w:r w:rsidR="000E0FA4" w:rsidRPr="00072406">
        <w:rPr>
          <w:rFonts w:ascii="Calibri" w:hAnsi="Calibri"/>
          <w:sz w:val="22"/>
          <w:szCs w:val="22"/>
        </w:rPr>
        <w:t>cenę ryczałtową brutto.</w:t>
      </w:r>
    </w:p>
    <w:p w14:paraId="56D7ECC5" w14:textId="77777777" w:rsidR="00395E4F" w:rsidRPr="00072406"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eastAsia="Corbel" w:hAnsi="Calibri" w:cs="Corbel"/>
          <w:sz w:val="22"/>
          <w:szCs w:val="22"/>
        </w:rPr>
        <w:t xml:space="preserve">Cena ofertowa netto za wykonanie przedmiotu zamówienia będzie obowiązywała przez cały okres </w:t>
      </w:r>
      <w:r w:rsidRPr="003153F2">
        <w:rPr>
          <w:rFonts w:ascii="Calibri" w:hAnsi="Calibri"/>
          <w:sz w:val="22"/>
          <w:szCs w:val="22"/>
        </w:rPr>
        <w:t xml:space="preserve">realizacji umowy w sprawie zamówienia. Stawka podatku VAT będzie uwzględniana zgodnie z przepisami prawa powszechnie obowiązującego. </w:t>
      </w:r>
    </w:p>
    <w:p w14:paraId="1747D55D" w14:textId="77777777" w:rsidR="003153F2" w:rsidRDefault="000276A0"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96695F">
        <w:rPr>
          <w:rFonts w:ascii="Calibri" w:hAnsi="Calibri"/>
          <w:sz w:val="22"/>
          <w:szCs w:val="22"/>
        </w:rPr>
        <w:t xml:space="preserve">Jeżeli złożono ofertę, której wybór prowadziłby do powstania u </w:t>
      </w:r>
      <w:r w:rsidR="00987568" w:rsidRPr="0096695F">
        <w:rPr>
          <w:rFonts w:ascii="Calibri" w:hAnsi="Calibri"/>
          <w:sz w:val="22"/>
          <w:szCs w:val="22"/>
        </w:rPr>
        <w:t>Z</w:t>
      </w:r>
      <w:r w:rsidRPr="0096695F">
        <w:rPr>
          <w:rFonts w:ascii="Calibri" w:hAnsi="Calibri"/>
          <w:sz w:val="22"/>
          <w:szCs w:val="22"/>
        </w:rPr>
        <w:t xml:space="preserve">amawiającego obowiązku podatkowego zgodnie z przepisami o podatku od towarów i usług, </w:t>
      </w:r>
      <w:r w:rsidR="00987568" w:rsidRPr="0096695F">
        <w:rPr>
          <w:rFonts w:ascii="Calibri" w:hAnsi="Calibri"/>
          <w:sz w:val="22"/>
          <w:szCs w:val="22"/>
        </w:rPr>
        <w:t>Z</w:t>
      </w:r>
      <w:r w:rsidRPr="0096695F">
        <w:rPr>
          <w:rFonts w:ascii="Calibri" w:hAnsi="Calibri"/>
          <w:sz w:val="22"/>
          <w:szCs w:val="22"/>
        </w:rPr>
        <w:t xml:space="preserve">amawiający w celu oceny takiej oferty dolicza do przedstawionej w niej ceny podatek od towarów i usług, który miałby obowiązek rozliczyć zgodnie z tymi przepisami. </w:t>
      </w:r>
      <w:r w:rsidRPr="0096695F">
        <w:rPr>
          <w:rFonts w:ascii="Calibri" w:hAnsi="Calibri"/>
          <w:sz w:val="22"/>
          <w:szCs w:val="22"/>
          <w:u w:val="single"/>
        </w:rPr>
        <w:t xml:space="preserve">Wykonawca, składając ofertę, informuje </w:t>
      </w:r>
      <w:r w:rsidR="00987568" w:rsidRPr="0096695F">
        <w:rPr>
          <w:rFonts w:ascii="Calibri" w:hAnsi="Calibri"/>
          <w:sz w:val="22"/>
          <w:szCs w:val="22"/>
          <w:u w:val="single"/>
        </w:rPr>
        <w:t>Z</w:t>
      </w:r>
      <w:r w:rsidRPr="0096695F">
        <w:rPr>
          <w:rFonts w:ascii="Calibri" w:hAnsi="Calibri"/>
          <w:sz w:val="22"/>
          <w:szCs w:val="22"/>
          <w:u w:val="single"/>
        </w:rPr>
        <w:t xml:space="preserve">amawiającego, czy wybór oferty będzie prowadzić do powstania u </w:t>
      </w:r>
      <w:r w:rsidR="00987568" w:rsidRPr="0096695F">
        <w:rPr>
          <w:rFonts w:ascii="Calibri" w:hAnsi="Calibri"/>
          <w:sz w:val="22"/>
          <w:szCs w:val="22"/>
          <w:u w:val="single"/>
        </w:rPr>
        <w:t>Z</w:t>
      </w:r>
      <w:r w:rsidRPr="0096695F">
        <w:rPr>
          <w:rFonts w:ascii="Calibri" w:hAnsi="Calibri"/>
          <w:sz w:val="22"/>
          <w:szCs w:val="22"/>
          <w:u w:val="single"/>
        </w:rPr>
        <w:t>amawiającego obowiązku podatkowego, wskazując nazwę (rodzaj) towaru lub usługi, których dostawa lub świadczenie będzie prowadzić do jego powstania, oraz wskazując ich wartość bez kwoty podatku</w:t>
      </w:r>
      <w:r w:rsidRPr="0096695F">
        <w:rPr>
          <w:rFonts w:ascii="Calibri" w:hAnsi="Calibri"/>
          <w:sz w:val="22"/>
          <w:szCs w:val="22"/>
        </w:rPr>
        <w:t>.</w:t>
      </w:r>
    </w:p>
    <w:p w14:paraId="2F1C35E9" w14:textId="77777777" w:rsid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eastAsia="Corbel" w:hAnsi="Calibri" w:cs="Corbel"/>
          <w:sz w:val="22"/>
          <w:szCs w:val="22"/>
        </w:rPr>
        <w:t xml:space="preserve">Cena ofertowa musi uwzględniać wszystkie wymagania zawarte w Zapytaniu i załącznikach do niego oraz obejmować wszelkie koszty, jakie wykonawca poniesie w związku z ich realizacją, </w:t>
      </w:r>
      <w:r w:rsidRPr="003153F2">
        <w:rPr>
          <w:rFonts w:ascii="Calibri" w:eastAsia="Corbel" w:hAnsi="Calibri" w:cs="Corbel"/>
          <w:sz w:val="22"/>
          <w:szCs w:val="22"/>
        </w:rPr>
        <w:br/>
        <w:t>w tym koszty, jakie towarzyszyć będą pełnej realizacji obowiązków nałożonych na wykonawcę, w szczególności koszty zakupu materiałów i urządzeń, koszty zatrudnienia pracowników i podwykonawców, koszty ubezpieczeń, koszty gwarancji jakości i koszty związane z rękojmią za wady</w:t>
      </w:r>
      <w:r w:rsidR="0096695F" w:rsidRPr="003153F2">
        <w:rPr>
          <w:rFonts w:ascii="Calibri" w:eastAsia="Corbel" w:hAnsi="Calibri" w:cs="Corbel"/>
          <w:sz w:val="22"/>
          <w:szCs w:val="22"/>
        </w:rPr>
        <w:t>.</w:t>
      </w:r>
    </w:p>
    <w:p w14:paraId="2CBCAAEB" w14:textId="36053B07" w:rsidR="00395E4F" w:rsidRP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hAnsi="Calibri"/>
          <w:sz w:val="22"/>
          <w:szCs w:val="22"/>
        </w:rPr>
        <w:t>Wykonawca załączy do oferty kosztorys</w:t>
      </w:r>
      <w:r w:rsidR="0096695F" w:rsidRPr="003153F2">
        <w:rPr>
          <w:rFonts w:ascii="Calibri" w:hAnsi="Calibri"/>
          <w:sz w:val="22"/>
          <w:szCs w:val="22"/>
        </w:rPr>
        <w:t xml:space="preserve"> </w:t>
      </w:r>
      <w:r w:rsidRPr="003153F2">
        <w:rPr>
          <w:rFonts w:ascii="Calibri" w:hAnsi="Calibri"/>
          <w:sz w:val="22"/>
          <w:szCs w:val="22"/>
        </w:rPr>
        <w:t xml:space="preserve">opracowany poprzez wypełnienie wartości </w:t>
      </w:r>
      <w:r w:rsidR="007156C4" w:rsidRPr="003153F2">
        <w:rPr>
          <w:rFonts w:ascii="Calibri" w:hAnsi="Calibri"/>
          <w:sz w:val="22"/>
          <w:szCs w:val="22"/>
        </w:rPr>
        <w:br/>
      </w:r>
      <w:r w:rsidRPr="003153F2">
        <w:rPr>
          <w:rFonts w:ascii="Calibri" w:hAnsi="Calibri"/>
          <w:sz w:val="22"/>
          <w:szCs w:val="22"/>
        </w:rPr>
        <w:t xml:space="preserve">w odpowiednich kolumnach oraz wierszach w Przedmiarze stanowiącym Załącznik nr </w:t>
      </w:r>
      <w:r w:rsidR="007421D1">
        <w:rPr>
          <w:rFonts w:ascii="Calibri" w:hAnsi="Calibri"/>
          <w:sz w:val="22"/>
          <w:szCs w:val="22"/>
        </w:rPr>
        <w:t>6 i 7</w:t>
      </w:r>
      <w:bookmarkStart w:id="3" w:name="_GoBack"/>
      <w:bookmarkEnd w:id="3"/>
      <w:r w:rsidR="008D2521" w:rsidRPr="003153F2">
        <w:rPr>
          <w:rFonts w:ascii="Calibri" w:hAnsi="Calibri"/>
          <w:sz w:val="22"/>
          <w:szCs w:val="22"/>
        </w:rPr>
        <w:t xml:space="preserve"> </w:t>
      </w:r>
      <w:r w:rsidRPr="003153F2">
        <w:rPr>
          <w:rFonts w:ascii="Calibri" w:hAnsi="Calibri"/>
          <w:sz w:val="22"/>
          <w:szCs w:val="22"/>
        </w:rPr>
        <w:t>do Zapytania</w:t>
      </w:r>
      <w:r w:rsidR="007F2D54" w:rsidRPr="003153F2">
        <w:rPr>
          <w:rFonts w:ascii="Calibri" w:hAnsi="Calibri"/>
          <w:sz w:val="22"/>
          <w:szCs w:val="22"/>
        </w:rPr>
        <w:t xml:space="preserve"> – w zależności od tego, na którą część wykonawca składa ofertę.</w:t>
      </w:r>
    </w:p>
    <w:p w14:paraId="5CF5BD7B" w14:textId="77777777" w:rsidR="00395E4F" w:rsidRPr="003153F2" w:rsidRDefault="00395E4F" w:rsidP="005E752B">
      <w:pPr>
        <w:pStyle w:val="Akapitzlist"/>
        <w:spacing w:after="120" w:line="259" w:lineRule="auto"/>
        <w:ind w:left="426"/>
        <w:contextualSpacing w:val="0"/>
        <w:jc w:val="both"/>
        <w:rPr>
          <w:rFonts w:ascii="Calibri" w:hAnsi="Calibri"/>
          <w:sz w:val="22"/>
          <w:szCs w:val="22"/>
          <w:u w:val="single"/>
        </w:rPr>
      </w:pPr>
      <w:r w:rsidRPr="003153F2">
        <w:rPr>
          <w:rFonts w:ascii="Calibri" w:hAnsi="Calibri"/>
          <w:sz w:val="22"/>
          <w:szCs w:val="22"/>
          <w:u w:val="single"/>
        </w:rPr>
        <w:t xml:space="preserve">Kosztorys </w:t>
      </w:r>
      <w:r w:rsidR="00444ED6" w:rsidRPr="003153F2">
        <w:rPr>
          <w:rFonts w:ascii="Calibri" w:hAnsi="Calibri"/>
          <w:sz w:val="22"/>
          <w:szCs w:val="22"/>
          <w:u w:val="single"/>
        </w:rPr>
        <w:t>(Przedmiar)</w:t>
      </w:r>
      <w:r w:rsidRPr="003153F2">
        <w:rPr>
          <w:rFonts w:ascii="Calibri" w:hAnsi="Calibri"/>
          <w:sz w:val="22"/>
          <w:szCs w:val="22"/>
          <w:u w:val="single"/>
        </w:rPr>
        <w:t xml:space="preserve"> ma charakter pomocniczy i informacyjny oraz nie wpływa na zakres obowiązków wykonawcy ani na wynagrodzenie wykonawcy, które to wynagrodzenie ma charakter ryczałtowy. Ewentualne </w:t>
      </w:r>
      <w:r w:rsidRPr="003153F2">
        <w:rPr>
          <w:rFonts w:ascii="Calibri" w:hAnsi="Calibri"/>
          <w:bCs/>
          <w:sz w:val="22"/>
          <w:szCs w:val="22"/>
          <w:u w:val="single"/>
        </w:rPr>
        <w:t xml:space="preserve">braki lub błędy obliczeniowe w </w:t>
      </w:r>
      <w:r w:rsidRPr="003153F2">
        <w:rPr>
          <w:rFonts w:ascii="Calibri" w:hAnsi="Calibri"/>
          <w:sz w:val="22"/>
          <w:szCs w:val="22"/>
          <w:u w:val="single"/>
        </w:rPr>
        <w:t xml:space="preserve">kosztorysie ofertowym </w:t>
      </w:r>
      <w:r w:rsidRPr="003153F2">
        <w:rPr>
          <w:rFonts w:ascii="Calibri" w:hAnsi="Calibri"/>
          <w:bCs/>
          <w:sz w:val="22"/>
          <w:szCs w:val="22"/>
          <w:u w:val="single"/>
        </w:rPr>
        <w:t>nie są podstawą do odrzucenia oferty.</w:t>
      </w:r>
    </w:p>
    <w:p w14:paraId="5A72F5CB" w14:textId="77777777" w:rsidR="00395E4F" w:rsidRP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hAnsi="Calibri"/>
          <w:sz w:val="22"/>
          <w:szCs w:val="22"/>
        </w:rPr>
        <w:t>Cenę ofertową należy podać w złotych polskich z dokładnością do dwóch miejsc po przecinku. Rozliczenia pomiędzy Zamawiającym</w:t>
      </w:r>
      <w:r w:rsidRPr="003153F2">
        <w:rPr>
          <w:rFonts w:ascii="Calibri" w:eastAsia="Corbel" w:hAnsi="Calibri" w:cs="Corbel"/>
          <w:sz w:val="22"/>
          <w:szCs w:val="22"/>
        </w:rPr>
        <w:t xml:space="preserve"> a wykonawcą prowadzone będą w złotych polskich. </w:t>
      </w:r>
    </w:p>
    <w:p w14:paraId="074C4BFC" w14:textId="77777777" w:rsidR="00A9713F" w:rsidRPr="00072406" w:rsidRDefault="00A9713F" w:rsidP="003153F2">
      <w:pPr>
        <w:widowControl w:val="0"/>
        <w:numPr>
          <w:ilvl w:val="0"/>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przygotowania oferty</w:t>
      </w:r>
    </w:p>
    <w:p w14:paraId="7C8C7EC6" w14:textId="77777777" w:rsidR="0057570E" w:rsidRP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vanish/>
          <w:sz w:val="22"/>
          <w:szCs w:val="22"/>
        </w:rPr>
      </w:pPr>
      <w:r w:rsidRPr="003153F2">
        <w:rPr>
          <w:rFonts w:ascii="Calibri" w:eastAsia="Corbel" w:hAnsi="Calibri" w:cs="Corbel"/>
          <w:sz w:val="22"/>
          <w:szCs w:val="22"/>
        </w:rPr>
        <w:t>Zaleca się</w:t>
      </w:r>
      <w:r w:rsidR="0035277B" w:rsidRPr="003153F2">
        <w:rPr>
          <w:rFonts w:ascii="Calibri" w:eastAsia="Corbel" w:hAnsi="Calibri" w:cs="Corbel"/>
          <w:sz w:val="22"/>
          <w:szCs w:val="22"/>
        </w:rPr>
        <w:t>,</w:t>
      </w:r>
      <w:r w:rsidRPr="003153F2">
        <w:rPr>
          <w:rFonts w:ascii="Calibri" w:eastAsia="Corbel" w:hAnsi="Calibri" w:cs="Corbel"/>
          <w:sz w:val="22"/>
          <w:szCs w:val="22"/>
        </w:rPr>
        <w:t xml:space="preserve"> aby wszystkie dokumenty składające się na ofertę</w:t>
      </w:r>
      <w:r w:rsidR="004B4F89" w:rsidRPr="003153F2">
        <w:rPr>
          <w:rFonts w:ascii="Calibri" w:eastAsia="Corbel" w:hAnsi="Calibri" w:cs="Corbel"/>
          <w:sz w:val="22"/>
          <w:szCs w:val="22"/>
        </w:rPr>
        <w:t xml:space="preserve"> składaną w formie pisemnej</w:t>
      </w:r>
      <w:r w:rsidRPr="003153F2">
        <w:rPr>
          <w:rFonts w:ascii="Calibri" w:eastAsia="Corbel" w:hAnsi="Calibri" w:cs="Corbel"/>
          <w:sz w:val="22"/>
          <w:szCs w:val="22"/>
        </w:rPr>
        <w:t xml:space="preserve"> były połączone (spięte).</w:t>
      </w:r>
    </w:p>
    <w:p w14:paraId="34E85B21"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Jeżeli oferta lub załączniki do oferty zawierają tajemnicę przedsiębiorstwa w rozumieniu przepisów o zwalczaniu nieuczciwej konkurencji, wykonawca, nie później niż w terminie składania ofert, może zastrzec, że nie mogą być one udostępniane - </w:t>
      </w:r>
      <w:r w:rsidRPr="00072406">
        <w:rPr>
          <w:rFonts w:ascii="Calibri" w:eastAsia="Corbel" w:hAnsi="Calibri" w:cs="Corbel"/>
          <w:sz w:val="22"/>
          <w:szCs w:val="22"/>
          <w:u w:val="single"/>
        </w:rPr>
        <w:t>pod warunkiem, że w tym terminie wykaże, iż zastrzeżone informacje stanowią tajemnicę przedsiębiorstwa</w:t>
      </w:r>
      <w:r w:rsidRPr="00072406">
        <w:rPr>
          <w:rFonts w:ascii="Calibri" w:eastAsia="Corbel" w:hAnsi="Calibri" w:cs="Corbel"/>
          <w:sz w:val="22"/>
          <w:szCs w:val="22"/>
        </w:rPr>
        <w:t xml:space="preserve">. Wykonawca nie może </w:t>
      </w:r>
      <w:r w:rsidRPr="00072406">
        <w:rPr>
          <w:rFonts w:ascii="Calibri" w:eastAsia="Corbel" w:hAnsi="Calibri" w:cs="Corbel"/>
          <w:sz w:val="22"/>
          <w:szCs w:val="22"/>
        </w:rPr>
        <w:lastRenderedPageBreak/>
        <w:t>zastrzec swojej nazwy i adresu, ceny oferty oraz danych dodatkowych uwzględnianych przy ocenie ofert.</w:t>
      </w:r>
    </w:p>
    <w:p w14:paraId="50FCDBBA" w14:textId="03E6DCF0"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Niezależnie od powyższego, złożenie oferty jest równoznaczne z wyrażeniem zgody na udostępnianie pełnej treści oferty instytucjom realizującym zadania związane z dofinansowaniem zamówienia</w:t>
      </w:r>
      <w:r w:rsidR="00C44298" w:rsidRPr="00072406">
        <w:rPr>
          <w:rFonts w:ascii="Calibri" w:eastAsia="Corbel" w:hAnsi="Calibri" w:cs="Corbel"/>
          <w:sz w:val="22"/>
          <w:szCs w:val="22"/>
        </w:rPr>
        <w:t xml:space="preserve"> </w:t>
      </w:r>
      <w:r w:rsidRPr="00072406">
        <w:rPr>
          <w:rFonts w:ascii="Calibri" w:eastAsia="Corbel" w:hAnsi="Calibri" w:cs="Corbel"/>
          <w:sz w:val="22"/>
          <w:szCs w:val="22"/>
        </w:rPr>
        <w:t>i osobom przez nie wskazanym.</w:t>
      </w:r>
    </w:p>
    <w:p w14:paraId="0F864724"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Informacje stanowiące tajemnicę przedsiębiorstwa powinny zostać przekazane w formie umożliwiającej zachowanie ich poufności (wraz z ofertą, ale jako odrębny dokument), wraz </w:t>
      </w:r>
      <w:r w:rsidR="007156C4" w:rsidRPr="00072406">
        <w:rPr>
          <w:rFonts w:ascii="Calibri" w:eastAsia="Corbel" w:hAnsi="Calibri" w:cs="Corbel"/>
          <w:sz w:val="22"/>
          <w:szCs w:val="22"/>
        </w:rPr>
        <w:br/>
      </w:r>
      <w:r w:rsidRPr="00072406">
        <w:rPr>
          <w:rFonts w:ascii="Calibri" w:eastAsia="Corbel" w:hAnsi="Calibri" w:cs="Corbel"/>
          <w:sz w:val="22"/>
          <w:szCs w:val="22"/>
        </w:rPr>
        <w:t>z wyraźnym wskazaniem na piśmie, że informacje stanowią tajemnicę przedsiębiorstwa i nie powinny być ujawnione.</w:t>
      </w:r>
    </w:p>
    <w:p w14:paraId="1F06EB8A" w14:textId="77777777" w:rsid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Oferta musi być sporządzona na maszynie do pisania, komputerze, ręcznie długopisem lub nieścieralnym atramentem. Oferty nieczytelne zostaną odrzucone.</w:t>
      </w:r>
    </w:p>
    <w:p w14:paraId="595A97C1" w14:textId="77777777" w:rsid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3153F2">
        <w:rPr>
          <w:rFonts w:ascii="Calibri" w:eastAsia="Corbel" w:hAnsi="Calibri" w:cs="Corbel"/>
          <w:sz w:val="22"/>
          <w:szCs w:val="22"/>
        </w:rPr>
        <w:t>Oferta wraz z załącznikami i wszystkimi dokumentami musi być podpisana przez osobę/osoby upoważnione do reprezentowania wykonawcy.</w:t>
      </w:r>
    </w:p>
    <w:p w14:paraId="672CDCD8" w14:textId="5D27C26C" w:rsidR="00E1616A" w:rsidRP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3153F2">
        <w:rPr>
          <w:rFonts w:ascii="Calibri" w:eastAsia="Corbel" w:hAnsi="Calibri" w:cs="Corbel"/>
          <w:sz w:val="22"/>
          <w:szCs w:val="22"/>
        </w:rPr>
        <w:t>Zaleca się, aby wszystkie zapisane strony oferty były ponumerowane i podpisane. Poprawki powinny być opatrzone datą oraz parafą osoby uprawnionej do składania oferty.</w:t>
      </w:r>
    </w:p>
    <w:p w14:paraId="3F212CED"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Termin związania ofertą</w:t>
      </w:r>
    </w:p>
    <w:p w14:paraId="76C54D7F"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Wykonawca będzie związany ofertą w terminie </w:t>
      </w:r>
      <w:r w:rsidR="00371DDA" w:rsidRPr="00072406">
        <w:rPr>
          <w:rFonts w:ascii="Calibri" w:eastAsia="SimSun" w:hAnsi="Calibri" w:cs="F"/>
          <w:b/>
          <w:kern w:val="3"/>
          <w:sz w:val="22"/>
          <w:szCs w:val="22"/>
          <w:lang w:eastAsia="en-US"/>
        </w:rPr>
        <w:t>30</w:t>
      </w:r>
      <w:r w:rsidRPr="00072406">
        <w:rPr>
          <w:rFonts w:ascii="Calibri" w:eastAsia="SimSun" w:hAnsi="Calibri" w:cs="F"/>
          <w:b/>
          <w:kern w:val="3"/>
          <w:sz w:val="22"/>
          <w:szCs w:val="22"/>
          <w:lang w:eastAsia="en-US"/>
        </w:rPr>
        <w:t xml:space="preserve"> dni</w:t>
      </w:r>
      <w:r w:rsidRPr="00072406">
        <w:rPr>
          <w:rFonts w:ascii="Calibri" w:eastAsia="SimSun" w:hAnsi="Calibri" w:cs="F"/>
          <w:kern w:val="3"/>
          <w:sz w:val="22"/>
          <w:szCs w:val="22"/>
          <w:lang w:eastAsia="en-US"/>
        </w:rPr>
        <w:t>.</w:t>
      </w:r>
    </w:p>
    <w:p w14:paraId="0A3AF355"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Bieg terminu związania ofertą rozpoczyna się wraz z upływem terminu składania ofert.</w:t>
      </w:r>
    </w:p>
    <w:p w14:paraId="1295B077" w14:textId="77777777" w:rsidR="007A3F82"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Wykonawca samodzielnie lub na wniosek Zamawiającego może przedłużyć termin związania ofertą.</w:t>
      </w:r>
    </w:p>
    <w:p w14:paraId="139F7BA2" w14:textId="46E95D0E"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Badanie i ocena ofert</w:t>
      </w:r>
    </w:p>
    <w:p w14:paraId="6856A461"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Przebieg badania i oceny ofert</w:t>
      </w:r>
    </w:p>
    <w:p w14:paraId="5EED15B9"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toku dokonywania badania i oceny złożonych ofert Zamawiający może żądać od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 wyjaśnień dotyczących złożonych przez nich ofert. Zamawiający może także żądać wyjaśnienia bądź uzupełnienia załączników do oferty.</w:t>
      </w:r>
    </w:p>
    <w:p w14:paraId="4867370B" w14:textId="77777777" w:rsidR="00035D6E"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poprawi w ofercie oczywiste omyłki pisarskie, oczywiste omyłki rachunkowe </w:t>
      </w:r>
      <w:r w:rsidRPr="00072406">
        <w:rPr>
          <w:rFonts w:ascii="Calibri" w:eastAsia="SimSun" w:hAnsi="Calibri" w:cs="F"/>
          <w:kern w:val="3"/>
          <w:sz w:val="22"/>
          <w:szCs w:val="22"/>
          <w:lang w:eastAsia="en-US"/>
        </w:rPr>
        <w:br/>
        <w:t>z uwzględnieniem konsekwencji rachunkowych dokonanych poprawek oraz inn</w:t>
      </w:r>
      <w:r w:rsidR="00371DDA" w:rsidRPr="00072406">
        <w:rPr>
          <w:rFonts w:ascii="Calibri" w:eastAsia="SimSun" w:hAnsi="Calibri" w:cs="F"/>
          <w:kern w:val="3"/>
          <w:sz w:val="22"/>
          <w:szCs w:val="22"/>
          <w:lang w:eastAsia="en-US"/>
        </w:rPr>
        <w:t>e omyłki</w:t>
      </w:r>
      <w:r w:rsidRPr="00072406">
        <w:rPr>
          <w:rFonts w:ascii="Calibri" w:eastAsia="SimSun" w:hAnsi="Calibri" w:cs="F"/>
          <w:kern w:val="3"/>
          <w:sz w:val="22"/>
          <w:szCs w:val="22"/>
          <w:lang w:eastAsia="en-US"/>
        </w:rPr>
        <w:t xml:space="preserve"> polegające na niezgodności oferty z treścią Zapytania, niepowodujące istotnych zmian w treści oferty – niezwłocznie zawiadamiając o tym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ykonawcę, którego oferta została poprawiona.</w:t>
      </w:r>
    </w:p>
    <w:p w14:paraId="2456F3EB" w14:textId="77777777" w:rsidR="00126C73" w:rsidRDefault="00035D6E" w:rsidP="00126C73">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Jeżeli zaoferowana </w:t>
      </w:r>
      <w:r w:rsidR="007156C4" w:rsidRPr="00072406">
        <w:rPr>
          <w:rFonts w:ascii="Calibri" w:eastAsia="SimSun" w:hAnsi="Calibri" w:cs="F"/>
          <w:kern w:val="3"/>
          <w:sz w:val="22"/>
          <w:szCs w:val="22"/>
          <w:lang w:eastAsia="en-US"/>
        </w:rPr>
        <w:t>cena</w:t>
      </w:r>
      <w:r w:rsidRPr="00072406">
        <w:rPr>
          <w:rFonts w:ascii="Calibri" w:eastAsia="SimSun" w:hAnsi="Calibri" w:cs="F"/>
          <w:kern w:val="3"/>
          <w:sz w:val="22"/>
          <w:szCs w:val="22"/>
          <w:lang w:eastAsia="en-US"/>
        </w:rPr>
        <w:t xml:space="preserve"> lub jej istotne części składowe, będą wydawały się rażąco niskie </w:t>
      </w:r>
      <w:r w:rsidR="007156C4" w:rsidRPr="00072406">
        <w:rPr>
          <w:rFonts w:ascii="Calibri" w:eastAsia="SimSun" w:hAnsi="Calibri" w:cs="F"/>
          <w:kern w:val="3"/>
          <w:sz w:val="22"/>
          <w:szCs w:val="22"/>
          <w:lang w:eastAsia="en-US"/>
        </w:rPr>
        <w:br/>
      </w:r>
      <w:r w:rsidRPr="00072406">
        <w:rPr>
          <w:rFonts w:ascii="Calibri" w:eastAsia="SimSun" w:hAnsi="Calibri" w:cs="F"/>
          <w:kern w:val="3"/>
          <w:sz w:val="22"/>
          <w:szCs w:val="22"/>
          <w:lang w:eastAsia="en-US"/>
        </w:rPr>
        <w:t xml:space="preserve">w stosunku do przedmiotu zamówienia i będą budzić wątpliwości Zamawiającego co do możliwości wykonania przedmiotu zamówienia zgodnie z wymaganiami, Zamawiający będzie mógł </w:t>
      </w:r>
      <w:r w:rsidR="007156C4" w:rsidRPr="00072406">
        <w:rPr>
          <w:rFonts w:ascii="Calibri" w:eastAsia="SimSun" w:hAnsi="Calibri" w:cs="F"/>
          <w:kern w:val="3"/>
          <w:sz w:val="22"/>
          <w:szCs w:val="22"/>
          <w:lang w:eastAsia="en-US"/>
        </w:rPr>
        <w:t>wezwać wykonawcę</w:t>
      </w:r>
      <w:r w:rsidRPr="00072406">
        <w:rPr>
          <w:rFonts w:ascii="Calibri" w:eastAsia="SimSun" w:hAnsi="Calibri" w:cs="F"/>
          <w:kern w:val="3"/>
          <w:sz w:val="22"/>
          <w:szCs w:val="22"/>
          <w:lang w:eastAsia="en-US"/>
        </w:rPr>
        <w:t xml:space="preserve"> do udzielenia wyjaśnień, w tym złożenia dowodów, dotyczących wyliczenia ceny. Obowiązek wykazania, że oferta nie zawiera rażąco niskiej ceny spoczywać będzie na wykonawcy.</w:t>
      </w:r>
    </w:p>
    <w:p w14:paraId="4D97F469" w14:textId="77777777" w:rsidR="008D3855" w:rsidRDefault="00126C73" w:rsidP="008D3855">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126C73">
        <w:rPr>
          <w:rFonts w:ascii="Calibri" w:eastAsia="SimSun" w:hAnsi="Calibri" w:cs="F"/>
          <w:kern w:val="3"/>
          <w:sz w:val="22"/>
          <w:szCs w:val="22"/>
          <w:lang w:eastAsia="en-US"/>
        </w:rPr>
        <w:t>Zamawiający informuje, że w niniejszym postępowaniu może zastosować procedurę odwróconą</w:t>
      </w:r>
      <w:r w:rsidR="008D3855">
        <w:rPr>
          <w:rFonts w:ascii="Calibri" w:eastAsia="SimSun" w:hAnsi="Calibri" w:cs="F"/>
          <w:kern w:val="3"/>
          <w:sz w:val="22"/>
          <w:szCs w:val="22"/>
          <w:lang w:eastAsia="en-US"/>
        </w:rPr>
        <w:t>.</w:t>
      </w:r>
    </w:p>
    <w:p w14:paraId="0740ECB2" w14:textId="55C4430B" w:rsidR="003B79CA" w:rsidRPr="00C64F1B" w:rsidRDefault="00126C73" w:rsidP="00C64F1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8D3855">
        <w:rPr>
          <w:rFonts w:ascii="Calibri" w:eastAsia="SimSun" w:hAnsi="Calibri" w:cs="F"/>
          <w:kern w:val="3"/>
          <w:sz w:val="22"/>
          <w:szCs w:val="22"/>
          <w:lang w:eastAsia="en-US"/>
        </w:rPr>
        <w:t xml:space="preserve">W przypadku zastosowania tejże procedury </w:t>
      </w:r>
      <w:r w:rsidR="008179D3">
        <w:rPr>
          <w:rFonts w:ascii="Calibri" w:eastAsia="SimSun" w:hAnsi="Calibri" w:cs="F"/>
          <w:kern w:val="3"/>
          <w:sz w:val="22"/>
          <w:szCs w:val="22"/>
          <w:lang w:eastAsia="en-US"/>
        </w:rPr>
        <w:t>odwróconej</w:t>
      </w:r>
      <w:r w:rsidR="008D3855">
        <w:rPr>
          <w:rFonts w:ascii="Calibri" w:eastAsia="SimSun" w:hAnsi="Calibri" w:cs="F"/>
          <w:kern w:val="3"/>
          <w:sz w:val="22"/>
          <w:szCs w:val="22"/>
          <w:lang w:eastAsia="en-US"/>
        </w:rPr>
        <w:t xml:space="preserve"> </w:t>
      </w:r>
      <w:r w:rsidRPr="008D3855">
        <w:rPr>
          <w:rFonts w:ascii="Calibri" w:eastAsia="SimSun" w:hAnsi="Calibri" w:cs="F"/>
          <w:kern w:val="3"/>
          <w:sz w:val="22"/>
          <w:szCs w:val="22"/>
          <w:lang w:eastAsia="en-US"/>
        </w:rPr>
        <w:t xml:space="preserve">Zamawiający najpierw dokona oceny </w:t>
      </w:r>
      <w:r w:rsidRPr="008D3855">
        <w:rPr>
          <w:rFonts w:ascii="Calibri" w:eastAsia="SimSun" w:hAnsi="Calibri" w:cs="F"/>
          <w:kern w:val="3"/>
          <w:sz w:val="22"/>
          <w:szCs w:val="22"/>
          <w:lang w:eastAsia="en-US"/>
        </w:rPr>
        <w:lastRenderedPageBreak/>
        <w:t xml:space="preserve">ofert, a następnie zbada, czy wykonawca, którego oferta została oceniona jako najkorzystniejsza, nie podlega wykluczeniu oraz czy spełnia warunki udziału w postępowaniu. Ocena braku podstaw wykluczenia oraz spełnienia warunków udziału w postępowaniu będzie odbywać się </w:t>
      </w:r>
      <w:r w:rsidR="00CC72B4">
        <w:rPr>
          <w:rFonts w:ascii="Calibri" w:eastAsia="SimSun" w:hAnsi="Calibri" w:cs="F"/>
          <w:kern w:val="3"/>
          <w:sz w:val="22"/>
          <w:szCs w:val="22"/>
          <w:lang w:eastAsia="en-US"/>
        </w:rPr>
        <w:t>w następujący sposób</w:t>
      </w:r>
      <w:r w:rsidRPr="008D3855">
        <w:rPr>
          <w:rFonts w:ascii="Calibri" w:eastAsia="SimSun" w:hAnsi="Calibri" w:cs="F"/>
          <w:kern w:val="3"/>
          <w:sz w:val="22"/>
          <w:szCs w:val="22"/>
          <w:lang w:eastAsia="en-US"/>
        </w:rPr>
        <w:t>:</w:t>
      </w:r>
      <w:r w:rsidR="00C64F1B">
        <w:rPr>
          <w:rFonts w:ascii="Calibri" w:eastAsia="SimSun" w:hAnsi="Calibri" w:cs="F"/>
          <w:kern w:val="3"/>
          <w:sz w:val="22"/>
          <w:szCs w:val="22"/>
          <w:lang w:eastAsia="en-US"/>
        </w:rPr>
        <w:t xml:space="preserve"> </w:t>
      </w:r>
      <w:r w:rsidR="00CC72B4" w:rsidRPr="00C64F1B">
        <w:rPr>
          <w:rFonts w:ascii="Calibri" w:eastAsia="SimSun" w:hAnsi="Calibri" w:cs="F"/>
          <w:kern w:val="3"/>
          <w:sz w:val="22"/>
          <w:szCs w:val="22"/>
          <w:lang w:eastAsia="en-US"/>
        </w:rPr>
        <w:t xml:space="preserve">Zamawiający </w:t>
      </w:r>
      <w:r w:rsidRPr="00C64F1B">
        <w:rPr>
          <w:rFonts w:ascii="Calibri" w:eastAsia="SimSun" w:hAnsi="Calibri" w:cs="F"/>
          <w:kern w:val="3"/>
          <w:sz w:val="22"/>
          <w:szCs w:val="22"/>
          <w:lang w:eastAsia="en-US"/>
        </w:rPr>
        <w:t xml:space="preserve">dokona oceny ofert w trybie </w:t>
      </w:r>
      <w:r w:rsidR="008D3855" w:rsidRPr="00C64F1B">
        <w:rPr>
          <w:rFonts w:ascii="Calibri" w:eastAsia="SimSun" w:hAnsi="Calibri" w:cs="F"/>
          <w:kern w:val="3"/>
          <w:sz w:val="22"/>
          <w:szCs w:val="22"/>
          <w:lang w:eastAsia="en-US"/>
        </w:rPr>
        <w:t>określonym w Zapytaniu</w:t>
      </w:r>
      <w:r w:rsidRPr="00C64F1B">
        <w:rPr>
          <w:rFonts w:ascii="Calibri" w:eastAsia="SimSun" w:hAnsi="Calibri" w:cs="F"/>
          <w:kern w:val="3"/>
          <w:sz w:val="22"/>
          <w:szCs w:val="22"/>
          <w:lang w:eastAsia="en-US"/>
        </w:rPr>
        <w:t>, tj. oceny braku podstaw wykluczenia w odniesieniu do Wykonawcy, którego oferta została oceniona jako najkorzystniejsza. Ocena ta zostanie dokonana w oparciu o złożone oświadczenie o braku podstaw wykluczenia oraz o spełnianiu warunków udziału w postępowaniu</w:t>
      </w:r>
      <w:r w:rsidR="00C64F1B" w:rsidRPr="00C64F1B">
        <w:rPr>
          <w:rFonts w:ascii="Calibri" w:eastAsia="SimSun" w:hAnsi="Calibri" w:cs="F"/>
          <w:kern w:val="3"/>
          <w:sz w:val="22"/>
          <w:szCs w:val="22"/>
          <w:lang w:eastAsia="en-US"/>
        </w:rPr>
        <w:t xml:space="preserve"> oraz pozostałe dokumenty</w:t>
      </w:r>
      <w:r w:rsidRPr="00C64F1B">
        <w:rPr>
          <w:rFonts w:ascii="Calibri" w:eastAsia="SimSun" w:hAnsi="Calibri" w:cs="F"/>
          <w:kern w:val="3"/>
          <w:sz w:val="22"/>
          <w:szCs w:val="22"/>
          <w:lang w:eastAsia="en-US"/>
        </w:rPr>
        <w:t xml:space="preserve">. Tak dokonana ocena będzie stanowić wstępne potwierdzenie, że wykonawca, którego oferta została oceniona jako najkorzystniejsza spośród złożonych ofert, nie podlega wykluczeniu z postępowania oraz spełnia warunki udziału w postępowaniu. Uwaga. Zamawiający nie </w:t>
      </w:r>
      <w:r w:rsidR="00C64F1B" w:rsidRPr="00C64F1B">
        <w:rPr>
          <w:rFonts w:ascii="Calibri" w:eastAsia="SimSun" w:hAnsi="Calibri" w:cs="F"/>
          <w:kern w:val="3"/>
          <w:sz w:val="22"/>
          <w:szCs w:val="22"/>
          <w:lang w:eastAsia="en-US"/>
        </w:rPr>
        <w:t>jest zobowiązany</w:t>
      </w:r>
      <w:r w:rsidRPr="00C64F1B">
        <w:rPr>
          <w:rFonts w:ascii="Calibri" w:eastAsia="SimSun" w:hAnsi="Calibri" w:cs="F"/>
          <w:kern w:val="3"/>
          <w:sz w:val="22"/>
          <w:szCs w:val="22"/>
          <w:lang w:eastAsia="en-US"/>
        </w:rPr>
        <w:t xml:space="preserve"> badać pozostałych </w:t>
      </w:r>
      <w:r w:rsidR="00C64F1B" w:rsidRPr="00C64F1B">
        <w:rPr>
          <w:rFonts w:ascii="Calibri" w:eastAsia="SimSun" w:hAnsi="Calibri" w:cs="F"/>
          <w:kern w:val="3"/>
          <w:sz w:val="22"/>
          <w:szCs w:val="22"/>
          <w:lang w:eastAsia="en-US"/>
        </w:rPr>
        <w:t xml:space="preserve">ofert </w:t>
      </w:r>
      <w:r w:rsidRPr="00C64F1B">
        <w:rPr>
          <w:rFonts w:ascii="Calibri" w:eastAsia="SimSun" w:hAnsi="Calibri" w:cs="F"/>
          <w:kern w:val="3"/>
          <w:sz w:val="22"/>
          <w:szCs w:val="22"/>
          <w:lang w:eastAsia="en-US"/>
        </w:rPr>
        <w:t>wykonawców, w celu ustalenia czy ci wykonawcy, których oferty zajęły dalsze miejsca w rankingu ofert, tzn. miejsce 2, 3, 4, itd. – podlegają wykluczeniu bądź nie.</w:t>
      </w:r>
    </w:p>
    <w:p w14:paraId="2C3DD1EC"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Odrzucenie oferty</w:t>
      </w:r>
    </w:p>
    <w:p w14:paraId="5AAB27F2" w14:textId="77777777" w:rsidR="00851926" w:rsidRPr="00072406" w:rsidRDefault="00851926"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odrzuci ofertę, jeżeli:</w:t>
      </w:r>
    </w:p>
    <w:p w14:paraId="73284740" w14:textId="77777777" w:rsidR="00851926" w:rsidRPr="00072406"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072406">
        <w:rPr>
          <w:rFonts w:ascii="Calibri" w:hAnsi="Calibri"/>
          <w:sz w:val="22"/>
          <w:szCs w:val="22"/>
        </w:rPr>
        <w:t xml:space="preserve">jej treść nie odpowiada treści Zapytania - z zastrzeżeniem pkt </w:t>
      </w:r>
      <w:r w:rsidR="006007AE" w:rsidRPr="00072406">
        <w:rPr>
          <w:rFonts w:ascii="Calibri" w:hAnsi="Calibri"/>
          <w:sz w:val="22"/>
          <w:szCs w:val="22"/>
        </w:rPr>
        <w:t>1</w:t>
      </w:r>
      <w:r w:rsidR="00114954" w:rsidRPr="00072406">
        <w:rPr>
          <w:rFonts w:ascii="Calibri" w:hAnsi="Calibri"/>
          <w:sz w:val="22"/>
          <w:szCs w:val="22"/>
        </w:rPr>
        <w:t>3</w:t>
      </w:r>
      <w:r w:rsidRPr="00072406">
        <w:rPr>
          <w:rFonts w:ascii="Calibri" w:hAnsi="Calibri"/>
          <w:sz w:val="22"/>
          <w:szCs w:val="22"/>
        </w:rPr>
        <w:t>.2 Zapytania, chyba że wykonawca nie zgodzi się w wyznaczonym terminie na dokonanie zmiany,</w:t>
      </w:r>
    </w:p>
    <w:p w14:paraId="6B42685F"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072406">
        <w:rPr>
          <w:rFonts w:ascii="Calibri" w:hAnsi="Calibri"/>
          <w:sz w:val="22"/>
          <w:szCs w:val="22"/>
        </w:rPr>
        <w:t xml:space="preserve">jest sprzeczna z przepisami prawa </w:t>
      </w:r>
      <w:r w:rsidR="007156C4" w:rsidRPr="00072406">
        <w:rPr>
          <w:rFonts w:ascii="Calibri" w:hAnsi="Calibri"/>
          <w:sz w:val="22"/>
          <w:szCs w:val="22"/>
        </w:rPr>
        <w:t xml:space="preserve">lub </w:t>
      </w:r>
      <w:r w:rsidR="007156C4" w:rsidRPr="007854A5">
        <w:rPr>
          <w:rFonts w:ascii="Calibri" w:hAnsi="Calibri"/>
          <w:sz w:val="22"/>
          <w:szCs w:val="22"/>
        </w:rPr>
        <w:t>nieważna</w:t>
      </w:r>
      <w:r w:rsidRPr="007854A5">
        <w:rPr>
          <w:rFonts w:ascii="Calibri" w:hAnsi="Calibri"/>
          <w:sz w:val="22"/>
          <w:szCs w:val="22"/>
        </w:rPr>
        <w:t xml:space="preserve"> na podstawie odrębnych przepisów,</w:t>
      </w:r>
    </w:p>
    <w:p w14:paraId="6DAAE3BE"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7854A5">
        <w:rPr>
          <w:rFonts w:ascii="Calibri" w:hAnsi="Calibri"/>
          <w:sz w:val="22"/>
          <w:szCs w:val="22"/>
        </w:rPr>
        <w:t xml:space="preserve">zawiera rażąco niską cenę w stosunku do przedmiotu zamówienia lub wykonawca nie udzielił; dostatecznych wyjaśnień w odpowiedzi na wezwanie Zamawiającego, o którym mowa w pkt </w:t>
      </w:r>
      <w:r w:rsidR="006007AE" w:rsidRPr="007854A5">
        <w:rPr>
          <w:rFonts w:ascii="Calibri" w:hAnsi="Calibri"/>
          <w:sz w:val="22"/>
          <w:szCs w:val="22"/>
        </w:rPr>
        <w:t>1</w:t>
      </w:r>
      <w:r w:rsidR="00114954" w:rsidRPr="007854A5">
        <w:rPr>
          <w:rFonts w:ascii="Calibri" w:hAnsi="Calibri"/>
          <w:sz w:val="22"/>
          <w:szCs w:val="22"/>
        </w:rPr>
        <w:t>3</w:t>
      </w:r>
      <w:r w:rsidRPr="007854A5">
        <w:rPr>
          <w:rFonts w:ascii="Calibri" w:hAnsi="Calibri"/>
          <w:sz w:val="22"/>
          <w:szCs w:val="22"/>
        </w:rPr>
        <w:t>.3 Zapytania,</w:t>
      </w:r>
    </w:p>
    <w:p w14:paraId="4FEFEB21"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7854A5">
        <w:rPr>
          <w:rFonts w:ascii="Calibri" w:hAnsi="Calibri"/>
          <w:sz w:val="22"/>
          <w:szCs w:val="22"/>
        </w:rPr>
        <w:t>wykonawca nie wyraził zgody na przedłużenie terminu związania ofertą</w:t>
      </w:r>
      <w:r w:rsidR="00202939" w:rsidRPr="007854A5">
        <w:rPr>
          <w:rFonts w:ascii="Calibri" w:hAnsi="Calibri"/>
          <w:sz w:val="22"/>
          <w:szCs w:val="22"/>
        </w:rPr>
        <w:t xml:space="preserve"> na wniosek Zamawiającego</w:t>
      </w:r>
      <w:r w:rsidRPr="007854A5">
        <w:rPr>
          <w:rFonts w:ascii="Calibri" w:hAnsi="Calibri"/>
          <w:sz w:val="22"/>
          <w:szCs w:val="22"/>
        </w:rPr>
        <w:t xml:space="preserve"> zgodnie z pkt </w:t>
      </w:r>
      <w:r w:rsidR="006007AE" w:rsidRPr="007854A5">
        <w:rPr>
          <w:rFonts w:ascii="Calibri" w:hAnsi="Calibri"/>
          <w:sz w:val="22"/>
          <w:szCs w:val="22"/>
        </w:rPr>
        <w:t>1</w:t>
      </w:r>
      <w:r w:rsidR="00114954" w:rsidRPr="007854A5">
        <w:rPr>
          <w:rFonts w:ascii="Calibri" w:hAnsi="Calibri"/>
          <w:sz w:val="22"/>
          <w:szCs w:val="22"/>
        </w:rPr>
        <w:t>2</w:t>
      </w:r>
      <w:r w:rsidRPr="007854A5">
        <w:rPr>
          <w:rFonts w:ascii="Calibri" w:hAnsi="Calibri"/>
          <w:sz w:val="22"/>
          <w:szCs w:val="22"/>
        </w:rPr>
        <w:t>.3 Zapytania.</w:t>
      </w:r>
    </w:p>
    <w:p w14:paraId="421C3B9D" w14:textId="77777777" w:rsidR="00851926" w:rsidRPr="00072406" w:rsidRDefault="00851926"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Oferta odrzucona nie będzie uwzględniania przy ocenie ofert.</w:t>
      </w:r>
    </w:p>
    <w:p w14:paraId="5027BBB8"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Unieważnienie postępowania</w:t>
      </w:r>
    </w:p>
    <w:p w14:paraId="1F5958D6"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Przesłanki i skutki unieważnienia</w:t>
      </w:r>
    </w:p>
    <w:p w14:paraId="41B1DF29" w14:textId="77777777" w:rsidR="00A9713F" w:rsidRPr="00072406" w:rsidRDefault="00A9713F" w:rsidP="005E752B">
      <w:pPr>
        <w:suppressAutoHyphens/>
        <w:autoSpaceDN w:val="0"/>
        <w:spacing w:after="120" w:line="276" w:lineRule="auto"/>
        <w:ind w:left="35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zastrzega sobie prawo do unieważnienia postępowania (zamknięcia bez wyboru oferty) bez podania przyczyny. W przypadku unieważnienia postępowania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ykonawcy nie będą przysługiwać żadne roszczenia względem Zamawiającego.</w:t>
      </w:r>
    </w:p>
    <w:p w14:paraId="5FCB046E"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dodatkowe</w:t>
      </w:r>
    </w:p>
    <w:p w14:paraId="0A75D651"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Informacja o wyniku postępowania</w:t>
      </w:r>
    </w:p>
    <w:p w14:paraId="65AB998C" w14:textId="77777777" w:rsidR="00A9713F" w:rsidRPr="00072406" w:rsidRDefault="00A9713F" w:rsidP="005E752B">
      <w:pPr>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Informację o wyniku postępowania Zamawiający</w:t>
      </w:r>
      <w:r w:rsidR="00371DDA" w:rsidRPr="00072406">
        <w:rPr>
          <w:rFonts w:ascii="Calibri" w:eastAsia="SimSun" w:hAnsi="Calibri" w:cs="F"/>
          <w:kern w:val="3"/>
          <w:sz w:val="22"/>
          <w:szCs w:val="22"/>
          <w:lang w:eastAsia="en-US"/>
        </w:rPr>
        <w:t xml:space="preserve"> opublikuje w ten sam sposób, w jaki opublikowane zostało </w:t>
      </w:r>
      <w:r w:rsidR="005E752B" w:rsidRPr="00072406">
        <w:rPr>
          <w:rFonts w:ascii="Calibri" w:eastAsia="SimSun" w:hAnsi="Calibri" w:cs="F"/>
          <w:kern w:val="3"/>
          <w:sz w:val="22"/>
          <w:szCs w:val="22"/>
          <w:lang w:eastAsia="en-US"/>
        </w:rPr>
        <w:t>Z</w:t>
      </w:r>
      <w:r w:rsidR="00371DDA" w:rsidRPr="00072406">
        <w:rPr>
          <w:rFonts w:ascii="Calibri" w:eastAsia="SimSun" w:hAnsi="Calibri" w:cs="F"/>
          <w:kern w:val="3"/>
          <w:sz w:val="22"/>
          <w:szCs w:val="22"/>
          <w:lang w:eastAsia="en-US"/>
        </w:rPr>
        <w:t xml:space="preserve">apytanie. </w:t>
      </w:r>
      <w:r w:rsidRPr="00072406">
        <w:rPr>
          <w:rFonts w:ascii="Calibri" w:eastAsia="SimSun" w:hAnsi="Calibri" w:cs="F"/>
          <w:kern w:val="3"/>
          <w:sz w:val="22"/>
          <w:szCs w:val="22"/>
          <w:lang w:eastAsia="en-US"/>
        </w:rPr>
        <w:t xml:space="preserve"> </w:t>
      </w:r>
    </w:p>
    <w:p w14:paraId="032E6B93"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Zawarcie umowy w sprawie zamówienia</w:t>
      </w:r>
    </w:p>
    <w:p w14:paraId="26E1A678"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ykonawcą, którego oferta została wybrana jako oferta najkorzystniejsza, zostanie podpisana umowa w sprawie zamówienia w terminie i miejscu wskazanym przez Zamawiającego.</w:t>
      </w:r>
    </w:p>
    <w:p w14:paraId="38C99CB5" w14:textId="4AE985C8" w:rsidR="00481659" w:rsidRPr="007854A5" w:rsidRDefault="00A9713F" w:rsidP="0048165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w:t>
      </w:r>
      <w:r w:rsidR="00472E1E" w:rsidRPr="00072406">
        <w:rPr>
          <w:rFonts w:ascii="Calibri" w:eastAsia="SimSun" w:hAnsi="Calibri" w:cs="F"/>
          <w:kern w:val="3"/>
          <w:sz w:val="22"/>
          <w:szCs w:val="22"/>
          <w:lang w:eastAsia="en-US"/>
        </w:rPr>
        <w:t>przypadku,</w:t>
      </w:r>
      <w:r w:rsidRPr="00072406">
        <w:rPr>
          <w:rFonts w:ascii="Calibri" w:eastAsia="SimSun" w:hAnsi="Calibri" w:cs="F"/>
          <w:kern w:val="3"/>
          <w:sz w:val="22"/>
          <w:szCs w:val="22"/>
          <w:lang w:eastAsia="en-US"/>
        </w:rPr>
        <w:t xml:space="preserve"> gdy wybrany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odstąpi od podpisania umowy z Zamawiającym, </w:t>
      </w:r>
      <w:r w:rsidRPr="00072406">
        <w:rPr>
          <w:rFonts w:ascii="Calibri" w:eastAsia="SimSun" w:hAnsi="Calibri" w:cs="F"/>
          <w:kern w:val="3"/>
          <w:sz w:val="22"/>
          <w:szCs w:val="22"/>
          <w:lang w:eastAsia="en-US"/>
        </w:rPr>
        <w:lastRenderedPageBreak/>
        <w:t xml:space="preserve">Zamawiający będzie miał prawo do podpisania umowy z kolejnym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ykonawcą, który </w:t>
      </w:r>
      <w:r w:rsidRPr="00072406">
        <w:rPr>
          <w:rFonts w:ascii="Calibri" w:eastAsia="SimSun" w:hAnsi="Calibri" w:cs="F"/>
          <w:kern w:val="3"/>
          <w:sz w:val="22"/>
          <w:szCs w:val="22"/>
          <w:lang w:eastAsia="en-US"/>
        </w:rPr>
        <w:br/>
        <w:t>w postępowaniu uzyskał kolejną najwyższą liczbę punktów.</w:t>
      </w:r>
    </w:p>
    <w:p w14:paraId="298DA958" w14:textId="77777777" w:rsidR="00481659" w:rsidRPr="00481659" w:rsidRDefault="00481659" w:rsidP="00481659">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Wykonawcy wspólnie ubiegający się o udzielenie zamówienia</w:t>
      </w:r>
    </w:p>
    <w:p w14:paraId="3AA65110"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Wykonawcy mogą wspólnie ubiegać się o udzielenie zamówienia. Do wykonawców wspólnie ubiegających się o udzielenie zamówienia mają odpowiednie zastosowanie postanowienia Zapytania dotyczące wykonawcy. </w:t>
      </w:r>
    </w:p>
    <w:p w14:paraId="1980A037"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 przypadku, o którym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wykonawcy ustanawiają pełnomocnika do reprezentowania ich w postępowaniu o udzielenie zamówienia albo reprezentowania </w:t>
      </w:r>
      <w:r>
        <w:rPr>
          <w:rFonts w:ascii="Calibri" w:eastAsia="SimSun" w:hAnsi="Calibri" w:cs="F"/>
          <w:kern w:val="3"/>
          <w:sz w:val="22"/>
          <w:szCs w:val="22"/>
          <w:lang w:eastAsia="en-US"/>
        </w:rPr>
        <w:br/>
      </w:r>
      <w:r w:rsidRPr="00481659">
        <w:rPr>
          <w:rFonts w:ascii="Calibri" w:eastAsia="SimSun" w:hAnsi="Calibri" w:cs="F"/>
          <w:kern w:val="3"/>
          <w:sz w:val="22"/>
          <w:szCs w:val="22"/>
          <w:lang w:eastAsia="en-US"/>
        </w:rPr>
        <w:t xml:space="preserve">w postępowaniu i zawarcia umowy w sprawie zamówienia. </w:t>
      </w:r>
    </w:p>
    <w:p w14:paraId="768F29CE"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Wykonawcy wspólnie ubiegający się o udzielenie zamówienia ponoszą solidarną odpowiedzialność za wykonanie umowy w sprawie zamówienia. </w:t>
      </w:r>
    </w:p>
    <w:p w14:paraId="6D43BD24"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Jeżeli oferta wykonawców, o których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zostanie wybrana jako najkorzystniejsza, Zamawiający żąda przedłożenia umowy regulującej współpracę tych wykonawców przed zawarciem umowy w sprawie zamówienia. </w:t>
      </w:r>
    </w:p>
    <w:p w14:paraId="5ABC1147" w14:textId="77777777" w:rsidR="00481659" w:rsidRP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Wykonawcy wspólnie ubiegający się o udzielenie zamówienia powinni spełniać warunki udziału w postępowaniu łącznie. Żaden z wykonawców wspólnie ubiegających się o udzielenie zamówienia nie może podlegać wykluczeniu z udziału w postępowaniu.</w:t>
      </w:r>
    </w:p>
    <w:p w14:paraId="7BEFACBA" w14:textId="77777777" w:rsidR="00481659" w:rsidRPr="00481659" w:rsidRDefault="00481659" w:rsidP="00481659">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Wskazanie znaków towarowych, patentów lub pochodzenia, źródła lub szczególnego procesu, odniesienia do norm, europejskich ocen technicznych, aprobat, specyfikacji technicznych i systemów referencji technicznych.</w:t>
      </w:r>
    </w:p>
    <w:p w14:paraId="34C256E7"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Ilekroć w Zapytaniu w jakichkolwiek dokumentach stanowiących załączniki do Zapytania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1E8CB529"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Ilekroć w Zapytaniu lub w jakichkolwiek dokumentach stanowiących załączniki do Zapytania Przedmiot zamówienia został opisany przez odniesienie do norm, europejskich ocen technicznych, aprobat, specyfikacji technicznych i systemów referencji technicznych, Zamawiający dopuszcza rozwiązania równoważne opisywanym.</w:t>
      </w:r>
    </w:p>
    <w:p w14:paraId="170EA630"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Przez rozwiązania równoważne należy rozumieć urządzenia gwarantujące parametry, właściwości i funkcjonalności, nie gorsze niż określone w Zapytaniu.</w:t>
      </w:r>
    </w:p>
    <w:p w14:paraId="280A2D12" w14:textId="77777777" w:rsidR="00481659" w:rsidRP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Wykonawca, który powołuje się na rozwiązania równoważne opisywanym przez Zamawiającego. Jest obowiązany wykazać, że oferowane przez niego materiały spełniają wymagania określone przez Zamawiającego. Akceptacja materiałów równoważnych ze strony zamawiającego następować będzie w formie pisemnej na podstawie przedłożonych przez Wykonawcę dokumentów (kart katalogowych lub innych dokumentów) potwierdzających ich równoważność).</w:t>
      </w:r>
    </w:p>
    <w:p w14:paraId="296FD6C5" w14:textId="77777777" w:rsidR="0094104A" w:rsidRPr="00072406" w:rsidRDefault="0094104A" w:rsidP="0094104A">
      <w:pPr>
        <w:suppressAutoHyphens/>
        <w:autoSpaceDN w:val="0"/>
        <w:spacing w:before="240" w:after="240" w:line="276" w:lineRule="auto"/>
        <w:jc w:val="both"/>
        <w:textAlignment w:val="baseline"/>
        <w:rPr>
          <w:rFonts w:ascii="Calibri" w:eastAsia="SimSun" w:hAnsi="Calibri" w:cs="F"/>
          <w:b/>
          <w:kern w:val="3"/>
          <w:sz w:val="28"/>
          <w:szCs w:val="28"/>
          <w:lang w:eastAsia="en-US"/>
        </w:rPr>
      </w:pPr>
      <w:r>
        <w:rPr>
          <w:rFonts w:ascii="Calibri" w:eastAsia="SimSun" w:hAnsi="Calibri" w:cs="F"/>
          <w:b/>
          <w:kern w:val="3"/>
          <w:sz w:val="28"/>
          <w:szCs w:val="28"/>
          <w:lang w:eastAsia="en-US"/>
        </w:rPr>
        <w:t>I</w:t>
      </w:r>
      <w:r w:rsidRPr="00072406">
        <w:rPr>
          <w:rFonts w:ascii="Calibri" w:eastAsia="SimSun" w:hAnsi="Calibri" w:cs="F"/>
          <w:b/>
          <w:kern w:val="3"/>
          <w:sz w:val="28"/>
          <w:szCs w:val="28"/>
          <w:lang w:eastAsia="en-US"/>
        </w:rPr>
        <w:t>nformacje do</w:t>
      </w:r>
      <w:r>
        <w:rPr>
          <w:rFonts w:ascii="Calibri" w:eastAsia="SimSun" w:hAnsi="Calibri" w:cs="F"/>
          <w:b/>
          <w:kern w:val="3"/>
          <w:sz w:val="28"/>
          <w:szCs w:val="28"/>
          <w:lang w:eastAsia="en-US"/>
        </w:rPr>
        <w:t xml:space="preserve">tyczące przetwarzania danych osobowych </w:t>
      </w:r>
    </w:p>
    <w:p w14:paraId="428F0521" w14:textId="77777777" w:rsidR="0094104A" w:rsidRPr="0094104A" w:rsidRDefault="0094104A" w:rsidP="002425FD">
      <w:pPr>
        <w:widowControl w:val="0"/>
        <w:suppressAutoHyphens/>
        <w:autoSpaceDN w:val="0"/>
        <w:spacing w:after="120" w:line="276" w:lineRule="auto"/>
        <w:ind w:left="426"/>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94104A">
        <w:rPr>
          <w:rFonts w:ascii="Calibri" w:eastAsia="SimSun" w:hAnsi="Calibri" w:cs="F"/>
          <w:kern w:val="3"/>
          <w:sz w:val="22"/>
          <w:szCs w:val="22"/>
          <w:lang w:eastAsia="en-US"/>
        </w:rPr>
        <w:lastRenderedPageBreak/>
        <w:t xml:space="preserve">„RODO”, </w:t>
      </w:r>
      <w:r w:rsidR="000A6F2B" w:rsidRPr="000A6F2B">
        <w:rPr>
          <w:rFonts w:ascii="Calibri" w:eastAsia="SimSun" w:hAnsi="Calibri" w:cs="F"/>
          <w:kern w:val="3"/>
          <w:sz w:val="22"/>
          <w:szCs w:val="22"/>
          <w:lang w:eastAsia="en-US"/>
        </w:rPr>
        <w:t>Horsetrans Muraczewski Spółka Jawna</w:t>
      </w:r>
      <w:r w:rsidR="002425FD">
        <w:rPr>
          <w:rFonts w:ascii="Calibri" w:eastAsia="SimSun" w:hAnsi="Calibri" w:cs="F"/>
          <w:kern w:val="3"/>
          <w:sz w:val="22"/>
          <w:szCs w:val="22"/>
          <w:lang w:eastAsia="en-US"/>
        </w:rPr>
        <w:t>, u</w:t>
      </w:r>
      <w:r w:rsidR="000A6F2B" w:rsidRPr="000A6F2B">
        <w:rPr>
          <w:rFonts w:ascii="Calibri" w:eastAsia="SimSun" w:hAnsi="Calibri" w:cs="F"/>
          <w:kern w:val="3"/>
          <w:sz w:val="22"/>
          <w:szCs w:val="22"/>
          <w:lang w:eastAsia="en-US"/>
        </w:rPr>
        <w:t>l. Józefa Chełmońskiego 7</w:t>
      </w:r>
      <w:r w:rsidR="002425FD">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w:t>
      </w:r>
      <w:r w:rsidR="000A6F2B">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 xml:space="preserve">, </w:t>
      </w:r>
      <w:r w:rsidRPr="0094104A">
        <w:rPr>
          <w:rFonts w:ascii="Calibri" w:eastAsia="SimSun" w:hAnsi="Calibri" w:cs="F"/>
          <w:kern w:val="3"/>
          <w:sz w:val="22"/>
          <w:szCs w:val="22"/>
          <w:lang w:eastAsia="en-US"/>
        </w:rPr>
        <w:t xml:space="preserve">informuje, że:  </w:t>
      </w:r>
    </w:p>
    <w:p w14:paraId="03C49A5C" w14:textId="77777777" w:rsidR="002425FD" w:rsidRDefault="0094104A" w:rsidP="002425FD">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administratorem Pani/Pana danych osobowych jest </w:t>
      </w:r>
      <w:r w:rsidR="002425FD" w:rsidRPr="002425FD">
        <w:rPr>
          <w:rFonts w:ascii="Calibri" w:eastAsia="SimSun" w:hAnsi="Calibri" w:cs="F"/>
          <w:kern w:val="3"/>
          <w:sz w:val="22"/>
          <w:szCs w:val="22"/>
          <w:lang w:eastAsia="en-US"/>
        </w:rPr>
        <w:t>Horsetrans Muraczewski Spółka Jawna</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Ul. Józefa Chełmońskiego 7</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w:t>
      </w:r>
      <w:r w:rsidR="00B25D67">
        <w:rPr>
          <w:rFonts w:ascii="Calibri" w:eastAsia="SimSun" w:hAnsi="Calibri" w:cs="F"/>
          <w:kern w:val="3"/>
          <w:sz w:val="22"/>
          <w:szCs w:val="22"/>
          <w:lang w:eastAsia="en-US"/>
        </w:rPr>
        <w:t>,</w:t>
      </w:r>
    </w:p>
    <w:p w14:paraId="1EBC2258" w14:textId="476D3942" w:rsidR="00E76062" w:rsidRPr="00E76062" w:rsidRDefault="0094104A" w:rsidP="00E76062">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Pani/Pana dane osobowe przetwarzane będą na podstawie art. 6 ust. 1 lit. c RODO w celu związanym z zapytaniem ofertowym pn. </w:t>
      </w:r>
      <w:r w:rsidR="00B25D67" w:rsidRPr="00B25D67">
        <w:rPr>
          <w:rFonts w:ascii="Calibri" w:eastAsia="SimSun" w:hAnsi="Calibri" w:cs="F"/>
          <w:kern w:val="3"/>
          <w:sz w:val="22"/>
          <w:szCs w:val="22"/>
          <w:lang w:eastAsia="en-US"/>
        </w:rPr>
        <w:t xml:space="preserve">„Budowa hali montażowo - magazynowej z zapleczem socjalnym: </w:t>
      </w:r>
      <w:r w:rsidR="00E76062" w:rsidRPr="00E76062">
        <w:rPr>
          <w:rFonts w:ascii="Calibri" w:eastAsia="SimSun" w:hAnsi="Calibri" w:cs="F"/>
          <w:kern w:val="3"/>
          <w:sz w:val="22"/>
          <w:szCs w:val="22"/>
          <w:lang w:eastAsia="en-US"/>
        </w:rPr>
        <w:t>roboty w zakresie branży elektrycznej.”</w:t>
      </w:r>
    </w:p>
    <w:p w14:paraId="62148CEF" w14:textId="77777777" w:rsidR="00327D9A" w:rsidRDefault="0094104A" w:rsidP="00327D9A">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B25D67">
        <w:rPr>
          <w:rFonts w:ascii="Calibri" w:eastAsia="SimSun" w:hAnsi="Calibri" w:cs="F"/>
          <w:kern w:val="3"/>
          <w:sz w:val="22"/>
          <w:szCs w:val="22"/>
          <w:lang w:eastAsia="en-US"/>
        </w:rPr>
        <w:t>zamówienie jest realizowane w związku z realizacją projektu pn. „</w:t>
      </w:r>
      <w:r w:rsidR="00B25D67" w:rsidRPr="00B25D67">
        <w:rPr>
          <w:rFonts w:ascii="Calibri" w:eastAsia="SimSun" w:hAnsi="Calibri" w:cs="F"/>
          <w:kern w:val="3"/>
          <w:sz w:val="22"/>
          <w:szCs w:val="22"/>
          <w:lang w:eastAsia="en-US"/>
        </w:rPr>
        <w:t>„Podniesienie konkurencyjności HORSETRANS poprzez wdrożenie prac B+R w celu uruchomienia produkcji najlżejszych na świecie samochodów do przewozu koni</w:t>
      </w:r>
      <w:r w:rsidRPr="00B25D67">
        <w:rPr>
          <w:rFonts w:ascii="Calibri" w:eastAsia="SimSun" w:hAnsi="Calibri" w:cs="F"/>
          <w:kern w:val="3"/>
          <w:sz w:val="22"/>
          <w:szCs w:val="22"/>
          <w:lang w:eastAsia="en-US"/>
        </w:rPr>
        <w:t xml:space="preserve">”- Pani/Pana dane osobowe będą przechowywane przez okres trwania projektów oraz w okresie ich trwałości chyba, że inne przepisy będą wymagały dłuższego okresu przechowywania, wtedy mają one zastosowanie; </w:t>
      </w:r>
    </w:p>
    <w:p w14:paraId="496F950D" w14:textId="77777777" w:rsid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327D9A">
        <w:rPr>
          <w:rFonts w:ascii="Calibri" w:eastAsia="SimSun" w:hAnsi="Calibri" w:cs="F"/>
          <w:kern w:val="3"/>
          <w:sz w:val="22"/>
          <w:szCs w:val="22"/>
          <w:lang w:eastAsia="en-US"/>
        </w:rPr>
        <w:t>obowiązek podania przez Panią/Pana danych osobowych bezpośrednio Pani/Pana dotyczących jest wymogiem ustawowym określonym w przepisach ustawy z dnia 11 lipca 2014 r. o zasadach realizacji programów w zakresie polityki spójności finansowanych w perspektywie finansowej 2014–2020, Wytycznymi w zakresie kwalifikowalności wydatków w ramach Europejskiego Funduszu Rozwoju Regionalnego, Europejskiego Funduszu Społecznego oraz Funduszu Spójności na lata 2014-2020 oraz umową o dofinansowanie projektu.</w:t>
      </w:r>
    </w:p>
    <w:p w14:paraId="58B5E099" w14:textId="77777777" w:rsid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w odniesieniu do Pani/Pana danych osobowych decyzje nie będą podejmowane w sposób zautomatyzowany, stosowanie do art. 22 RODO</w:t>
      </w:r>
      <w:r w:rsidR="00AC4AB4">
        <w:rPr>
          <w:rFonts w:ascii="Calibri" w:eastAsia="SimSun" w:hAnsi="Calibri" w:cs="F"/>
          <w:kern w:val="3"/>
          <w:sz w:val="22"/>
          <w:szCs w:val="22"/>
          <w:lang w:eastAsia="en-US"/>
        </w:rPr>
        <w:t>,</w:t>
      </w:r>
    </w:p>
    <w:p w14:paraId="5476355B" w14:textId="77777777" w:rsidR="0094104A" w:rsidRP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posiada Pani/Pan: </w:t>
      </w:r>
    </w:p>
    <w:p w14:paraId="55E9D3DA" w14:textId="77777777" w:rsidR="0094104A" w:rsidRPr="0094104A" w:rsidRDefault="0094104A"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na podstawie art. 15 RODO prawo dostępu do danych osobowych Pani/Pana dotyczących; </w:t>
      </w:r>
    </w:p>
    <w:p w14:paraId="06712C56" w14:textId="77777777" w:rsidR="0094104A" w:rsidRDefault="0094104A"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na podstawie art. 16 RODO prawo do sprostowania Pani/Pana danych osobowych;</w:t>
      </w:r>
    </w:p>
    <w:p w14:paraId="3EBEA66D" w14:textId="77777777" w:rsidR="00AC4AB4" w:rsidRPr="00AC4AB4" w:rsidRDefault="00AC4AB4"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na podstawie art. 18 RODO prawo żądania od administratora ograniczenia przetwarzania danych osobowych z zastrzeżeniem przypadków, o których mowa w art. 18 ust. 2 RODO;   </w:t>
      </w:r>
    </w:p>
    <w:p w14:paraId="33036C81" w14:textId="77777777" w:rsidR="00AC4AB4" w:rsidRPr="00AC4AB4" w:rsidRDefault="00AC4AB4"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wniesienia skargi do Prezesa Urzędu Ochrony Danych Osobowych, gdy uzna Pani/Pan, że przetwarzanie danych osobowych Pani/Pana dotyczących narusza przepisy RODO; </w:t>
      </w:r>
    </w:p>
    <w:p w14:paraId="25666097" w14:textId="77777777" w:rsidR="00AC4AB4" w:rsidRPr="00AC4AB4" w:rsidRDefault="00AC4AB4" w:rsidP="00AC4AB4">
      <w:pPr>
        <w:widowControl w:val="0"/>
        <w:numPr>
          <w:ilvl w:val="0"/>
          <w:numId w:val="30"/>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nie przysługuje Pani/Panu: </w:t>
      </w:r>
    </w:p>
    <w:p w14:paraId="63943E85" w14:textId="77777777" w:rsidR="00AC4AB4" w:rsidRPr="00AC4AB4"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w związku z art. 17 ust. 3 lit. b, d lub e RODO prawo do usunięcia danych osobowych; </w:t>
      </w:r>
    </w:p>
    <w:p w14:paraId="492F60F6" w14:textId="77777777" w:rsidR="00AC4AB4" w:rsidRPr="00AC4AB4"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przenoszenia danych osobowych, o którym mowa w art. 20 RODO; </w:t>
      </w:r>
    </w:p>
    <w:p w14:paraId="39A7A5BE" w14:textId="77777777" w:rsidR="00AC4AB4" w:rsidRPr="0094104A"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na podstawie art. 21 RODO prawo sprzeciwu, wobec przetwarzania danych osobowych, gdyż podstawą prawną przetwarzania Pani/Pana danych osobowych jest art. 6 ust. 1 lit. c RODO.</w:t>
      </w:r>
    </w:p>
    <w:sectPr w:rsidR="00AC4AB4" w:rsidRPr="0094104A" w:rsidSect="00C23FED">
      <w:headerReference w:type="default" r:id="rId8"/>
      <w:footerReference w:type="default" r:id="rId9"/>
      <w:pgSz w:w="11906" w:h="16838"/>
      <w:pgMar w:top="1985" w:right="1417" w:bottom="1135" w:left="1417" w:header="680"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875B" w14:textId="77777777" w:rsidR="00700275" w:rsidRDefault="00700275">
      <w:r>
        <w:separator/>
      </w:r>
    </w:p>
  </w:endnote>
  <w:endnote w:type="continuationSeparator" w:id="0">
    <w:p w14:paraId="16CCDD14" w14:textId="77777777" w:rsidR="00700275" w:rsidRDefault="0070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Cambria"/>
    <w:charset w:val="00"/>
    <w:family w:val="roman"/>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5CC8" w14:textId="77777777" w:rsidR="00DE7F40" w:rsidRDefault="00697DA6">
    <w:pPr>
      <w:pStyle w:val="Nagwek"/>
      <w:tabs>
        <w:tab w:val="clear" w:pos="9072"/>
        <w:tab w:val="right" w:pos="9866"/>
      </w:tabs>
      <w:rPr>
        <w:rFonts w:ascii="Arial" w:hAnsi="Arial" w:cs="Arial"/>
        <w:sz w:val="20"/>
      </w:rPr>
    </w:pPr>
    <w:r>
      <w:rPr>
        <w:rFonts w:ascii="Arial" w:hAnsi="Arial" w:cs="Arial"/>
        <w:noProof/>
        <w:sz w:val="20"/>
        <w:lang w:val="pl-PL" w:eastAsia="pl-PL"/>
      </w:rPr>
      <mc:AlternateContent>
        <mc:Choice Requires="wps">
          <w:drawing>
            <wp:anchor distT="0" distB="0" distL="114300" distR="114300" simplePos="0" relativeHeight="251657728" behindDoc="0" locked="0" layoutInCell="1" allowOverlap="1" wp14:anchorId="1572B71C" wp14:editId="6CE768E3">
              <wp:simplePos x="0" y="0"/>
              <wp:positionH relativeFrom="column">
                <wp:posOffset>-375920</wp:posOffset>
              </wp:positionH>
              <wp:positionV relativeFrom="paragraph">
                <wp:posOffset>-21590</wp:posOffset>
              </wp:positionV>
              <wp:extent cx="6448425" cy="342900"/>
              <wp:effectExtent l="24130" t="26035" r="33020" b="501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42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04AFC3C1" w14:textId="77777777" w:rsidR="004B275B" w:rsidRPr="004B275B" w:rsidRDefault="004B275B" w:rsidP="004B275B">
                          <w:pPr>
                            <w:jc w:val="center"/>
                            <w:rPr>
                              <w:b/>
                            </w:rPr>
                          </w:pPr>
                          <w:r w:rsidRPr="004B275B">
                            <w:rPr>
                              <w:b/>
                            </w:rPr>
                            <w:t>www.mapadotacji.gov.pl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B71C" id="Rectangle 1" o:spid="_x0000_s1026" style="position:absolute;margin-left:-29.6pt;margin-top:-1.7pt;width:50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" fillcolor="#5b9bd5" strokecolor="#f2f2f2" strokeweight="3pt">
              <v:shadow on="t" color="#1f4d78" opacity=".5" offset="1pt"/>
              <v:textbox>
                <w:txbxContent>
                  <w:p w14:paraId="04AFC3C1" w14:textId="77777777" w:rsidR="004B275B" w:rsidRPr="004B275B" w:rsidRDefault="004B275B" w:rsidP="004B275B">
                    <w:pPr>
                      <w:jc w:val="center"/>
                      <w:rPr>
                        <w:b/>
                      </w:rPr>
                    </w:pPr>
                    <w:r w:rsidRPr="004B275B">
                      <w:rPr>
                        <w:b/>
                      </w:rPr>
                      <w:t>www.mapadotacji.gov.pl</w:t>
                    </w:r>
                  </w:p>
                </w:txbxContent>
              </v:textbox>
            </v:rect>
          </w:pict>
        </mc:Fallback>
      </mc:AlternateContent>
    </w:r>
  </w:p>
  <w:p w14:paraId="2FA04949" w14:textId="77777777" w:rsidR="00DE7F40" w:rsidRPr="00C109E1" w:rsidRDefault="00DE7F40" w:rsidP="00DE7F40">
    <w:pPr>
      <w:pStyle w:val="Stopka"/>
      <w:spacing w:line="276" w:lineRule="auto"/>
      <w:jc w:val="center"/>
      <w:rPr>
        <w:rFonts w:ascii="Arial" w:hAnsi="Arial" w:cs="Arial"/>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7C5A" w14:textId="77777777" w:rsidR="00700275" w:rsidRDefault="00700275">
      <w:r>
        <w:separator/>
      </w:r>
    </w:p>
  </w:footnote>
  <w:footnote w:type="continuationSeparator" w:id="0">
    <w:p w14:paraId="25625866" w14:textId="77777777" w:rsidR="00700275" w:rsidRDefault="0070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5DC0" w14:textId="77777777" w:rsidR="00DE7F40" w:rsidRPr="003A31BE" w:rsidRDefault="00697DA6" w:rsidP="003A3B8C">
    <w:pPr>
      <w:spacing w:after="143" w:line="259" w:lineRule="auto"/>
      <w:ind w:left="-709" w:right="5"/>
    </w:pPr>
    <w:r w:rsidRPr="00673100">
      <w:rPr>
        <w:rFonts w:ascii="Arial" w:hAnsi="Arial" w:cs="Arial"/>
        <w:noProof/>
        <w:sz w:val="18"/>
        <w:szCs w:val="18"/>
      </w:rPr>
      <w:drawing>
        <wp:inline distT="0" distB="0" distL="0" distR="0" wp14:anchorId="46BBC947" wp14:editId="2D259285">
          <wp:extent cx="6623050" cy="697865"/>
          <wp:effectExtent l="0" t="0" r="0" b="0"/>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0" cy="69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9DAF262"/>
    <w:name w:val="WW8Num11"/>
    <w:lvl w:ilvl="0">
      <w:start w:val="1"/>
      <w:numFmt w:val="decimal"/>
      <w:lvlText w:val="%1."/>
      <w:lvlJc w:val="left"/>
      <w:pPr>
        <w:tabs>
          <w:tab w:val="num" w:pos="0"/>
        </w:tabs>
        <w:ind w:left="360" w:hanging="360"/>
      </w:pPr>
      <w:rPr>
        <w:rFonts w:cs="Arial Unicode MS"/>
        <w:caps w:val="0"/>
        <w:smallCaps w:val="0"/>
        <w:strike w:val="0"/>
        <w:dstrike w:val="0"/>
        <w:color w:val="000000"/>
        <w:spacing w:val="0"/>
        <w:w w:val="100"/>
        <w:kern w:val="1"/>
        <w:position w:val="0"/>
        <w:sz w:val="24"/>
        <w:vertAlign w:val="baseline"/>
      </w:rPr>
    </w:lvl>
    <w:lvl w:ilvl="1">
      <w:start w:val="1"/>
      <w:numFmt w:val="lowerLetter"/>
      <w:lvlText w:val="%2."/>
      <w:lvlJc w:val="left"/>
      <w:pPr>
        <w:tabs>
          <w:tab w:val="num" w:pos="0"/>
        </w:tabs>
        <w:ind w:left="792" w:hanging="432"/>
      </w:pPr>
      <w:rPr>
        <w:rFonts w:cs="Arial Unicode MS"/>
        <w:caps w:val="0"/>
        <w:smallCaps w:val="0"/>
        <w:strike w:val="0"/>
        <w:dstrike w:val="0"/>
        <w:color w:val="000000"/>
        <w:spacing w:val="0"/>
        <w:w w:val="100"/>
        <w:kern w:val="1"/>
        <w:position w:val="0"/>
        <w:sz w:val="22"/>
        <w:szCs w:val="22"/>
        <w:vertAlign w:val="baseline"/>
      </w:rPr>
    </w:lvl>
    <w:lvl w:ilvl="2">
      <w:start w:val="1"/>
      <w:numFmt w:val="lowerLetter"/>
      <w:lvlText w:val="%3."/>
      <w:lvlJc w:val="left"/>
      <w:pPr>
        <w:tabs>
          <w:tab w:val="num" w:pos="0"/>
        </w:tabs>
        <w:ind w:left="1224" w:hanging="504"/>
      </w:pPr>
      <w:rPr>
        <w:rFonts w:eastAsia="Corbel" w:cs="Corbel"/>
        <w:caps w:val="0"/>
        <w:smallCaps w:val="0"/>
        <w:strike w:val="0"/>
        <w:dstrike w:val="0"/>
        <w:color w:val="000000"/>
        <w:spacing w:val="0"/>
        <w:w w:val="100"/>
        <w:kern w:val="1"/>
        <w:position w:val="0"/>
        <w:sz w:val="24"/>
        <w:vertAlign w:val="baseline"/>
      </w:rPr>
    </w:lvl>
    <w:lvl w:ilvl="3">
      <w:start w:val="1"/>
      <w:numFmt w:val="decimal"/>
      <w:lvlText w:val="%2.%3.%4."/>
      <w:lvlJc w:val="left"/>
      <w:pPr>
        <w:tabs>
          <w:tab w:val="num" w:pos="0"/>
        </w:tabs>
        <w:ind w:left="1728" w:hanging="648"/>
      </w:pPr>
      <w:rPr>
        <w:rFonts w:cs="Arial Unicode MS"/>
        <w:caps w:val="0"/>
        <w:smallCaps w:val="0"/>
        <w:strike w:val="0"/>
        <w:dstrike w:val="0"/>
        <w:color w:val="000000"/>
        <w:spacing w:val="0"/>
        <w:w w:val="100"/>
        <w:kern w:val="1"/>
        <w:position w:val="0"/>
        <w:sz w:val="24"/>
        <w:vertAlign w:val="baseline"/>
      </w:rPr>
    </w:lvl>
    <w:lvl w:ilvl="4">
      <w:start w:val="1"/>
      <w:numFmt w:val="decimal"/>
      <w:lvlText w:val="%2.%3.%4.%5."/>
      <w:lvlJc w:val="left"/>
      <w:pPr>
        <w:tabs>
          <w:tab w:val="num" w:pos="0"/>
        </w:tabs>
        <w:ind w:left="2232" w:hanging="792"/>
      </w:pPr>
      <w:rPr>
        <w:rFonts w:cs="Arial Unicode MS"/>
        <w:caps w:val="0"/>
        <w:smallCaps w:val="0"/>
        <w:strike w:val="0"/>
        <w:dstrike w:val="0"/>
        <w:color w:val="000000"/>
        <w:spacing w:val="0"/>
        <w:w w:val="100"/>
        <w:kern w:val="1"/>
        <w:position w:val="0"/>
        <w:sz w:val="24"/>
        <w:vertAlign w:val="baseline"/>
      </w:rPr>
    </w:lvl>
    <w:lvl w:ilvl="5">
      <w:start w:val="1"/>
      <w:numFmt w:val="decimal"/>
      <w:lvlText w:val="%2.%3.%4.%5.%6."/>
      <w:lvlJc w:val="left"/>
      <w:pPr>
        <w:tabs>
          <w:tab w:val="num" w:pos="0"/>
        </w:tabs>
        <w:ind w:left="2736" w:hanging="936"/>
      </w:pPr>
      <w:rPr>
        <w:rFonts w:cs="Arial Unicode MS"/>
        <w:caps w:val="0"/>
        <w:smallCaps w:val="0"/>
        <w:strike w:val="0"/>
        <w:dstrike w:val="0"/>
        <w:color w:val="000000"/>
        <w:spacing w:val="0"/>
        <w:w w:val="100"/>
        <w:kern w:val="1"/>
        <w:position w:val="0"/>
        <w:sz w:val="24"/>
        <w:vertAlign w:val="baseline"/>
      </w:rPr>
    </w:lvl>
    <w:lvl w:ilvl="6">
      <w:start w:val="1"/>
      <w:numFmt w:val="decimal"/>
      <w:lvlText w:val="%2.%3.%4.%5.%6.%7."/>
      <w:lvlJc w:val="left"/>
      <w:pPr>
        <w:tabs>
          <w:tab w:val="num" w:pos="0"/>
        </w:tabs>
        <w:ind w:left="3240" w:hanging="1080"/>
      </w:pPr>
      <w:rPr>
        <w:rFonts w:cs="Arial Unicode MS"/>
        <w:caps w:val="0"/>
        <w:smallCaps w:val="0"/>
        <w:strike w:val="0"/>
        <w:dstrike w:val="0"/>
        <w:color w:val="000000"/>
        <w:spacing w:val="0"/>
        <w:w w:val="100"/>
        <w:kern w:val="1"/>
        <w:position w:val="0"/>
        <w:sz w:val="24"/>
        <w:vertAlign w:val="baseline"/>
      </w:rPr>
    </w:lvl>
    <w:lvl w:ilvl="7">
      <w:start w:val="1"/>
      <w:numFmt w:val="decimal"/>
      <w:lvlText w:val="%2.%3.%4.%5.%6.%7.%8."/>
      <w:lvlJc w:val="left"/>
      <w:pPr>
        <w:tabs>
          <w:tab w:val="num" w:pos="0"/>
        </w:tabs>
        <w:ind w:left="3744" w:hanging="1224"/>
      </w:pPr>
      <w:rPr>
        <w:rFonts w:cs="Arial Unicode MS"/>
        <w:caps w:val="0"/>
        <w:smallCaps w:val="0"/>
        <w:strike w:val="0"/>
        <w:dstrike w:val="0"/>
        <w:color w:val="000000"/>
        <w:spacing w:val="0"/>
        <w:w w:val="100"/>
        <w:kern w:val="1"/>
        <w:position w:val="0"/>
        <w:sz w:val="24"/>
        <w:vertAlign w:val="baseline"/>
      </w:rPr>
    </w:lvl>
    <w:lvl w:ilvl="8">
      <w:start w:val="1"/>
      <w:numFmt w:val="decimal"/>
      <w:lvlText w:val="%2.%3.%4.%5.%6.%7.%8.%9."/>
      <w:lvlJc w:val="left"/>
      <w:pPr>
        <w:tabs>
          <w:tab w:val="num" w:pos="0"/>
        </w:tabs>
        <w:ind w:left="4320" w:hanging="1440"/>
      </w:pPr>
      <w:rPr>
        <w:rFonts w:cs="Arial Unicode MS"/>
        <w:caps w:val="0"/>
        <w:smallCaps w:val="0"/>
        <w:strike w:val="0"/>
        <w:dstrike w:val="0"/>
        <w:color w:val="000000"/>
        <w:spacing w:val="0"/>
        <w:w w:val="100"/>
        <w:kern w:val="1"/>
        <w:position w:val="0"/>
        <w:sz w:val="24"/>
        <w:vertAlign w:val="baseline"/>
      </w:rPr>
    </w:lvl>
  </w:abstractNum>
  <w:abstractNum w:abstractNumId="1" w15:restartNumberingAfterBreak="0">
    <w:nsid w:val="037F5877"/>
    <w:multiLevelType w:val="hybridMultilevel"/>
    <w:tmpl w:val="2ED27B9E"/>
    <w:lvl w:ilvl="0" w:tplc="EFC858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B2A53"/>
    <w:multiLevelType w:val="hybridMultilevel"/>
    <w:tmpl w:val="E12E48F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F572C0"/>
    <w:multiLevelType w:val="multilevel"/>
    <w:tmpl w:val="C0CE52B0"/>
    <w:lvl w:ilvl="0">
      <w:start w:val="1"/>
      <w:numFmt w:val="lowerLetter"/>
      <w:lvlText w:val="%1."/>
      <w:lvlJc w:val="left"/>
      <w:pPr>
        <w:ind w:left="1069" w:hanging="360"/>
      </w:pPr>
      <w:rPr>
        <w:b w:val="0"/>
      </w:rPr>
    </w:lvl>
    <w:lvl w:ilvl="1">
      <w:start w:val="1"/>
      <w:numFmt w:val="lowerLetter"/>
      <w:lvlText w:val="%2."/>
      <w:lvlJc w:val="left"/>
      <w:pPr>
        <w:ind w:left="1501" w:hanging="432"/>
      </w:pPr>
      <w:rPr>
        <w:b w:val="0"/>
      </w:rPr>
    </w:lvl>
    <w:lvl w:ilvl="2">
      <w:start w:val="1"/>
      <w:numFmt w:val="lowerLetter"/>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0B317F19"/>
    <w:multiLevelType w:val="multilevel"/>
    <w:tmpl w:val="8B3C1C80"/>
    <w:styleLink w:val="WWNum19"/>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957AE"/>
    <w:multiLevelType w:val="multilevel"/>
    <w:tmpl w:val="CEF66090"/>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60F33"/>
    <w:multiLevelType w:val="hybridMultilevel"/>
    <w:tmpl w:val="816CB42C"/>
    <w:lvl w:ilvl="0" w:tplc="EFC8586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6A1A95"/>
    <w:multiLevelType w:val="multilevel"/>
    <w:tmpl w:val="0FFE090A"/>
    <w:styleLink w:val="WWNum6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8" w:hanging="56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B7F1D1E"/>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914DC"/>
    <w:multiLevelType w:val="multilevel"/>
    <w:tmpl w:val="DCC2BD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FEB2F97"/>
    <w:multiLevelType w:val="multilevel"/>
    <w:tmpl w:val="0FFE090A"/>
    <w:numStyleLink w:val="WWNum61"/>
  </w:abstractNum>
  <w:abstractNum w:abstractNumId="12" w15:restartNumberingAfterBreak="0">
    <w:nsid w:val="2154459A"/>
    <w:multiLevelType w:val="hybridMultilevel"/>
    <w:tmpl w:val="BE3ED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D2C57"/>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F35B7"/>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A57BE"/>
    <w:multiLevelType w:val="hybridMultilevel"/>
    <w:tmpl w:val="8DD0C54C"/>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87658"/>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7120CE"/>
    <w:multiLevelType w:val="multilevel"/>
    <w:tmpl w:val="92B4A898"/>
    <w:styleLink w:val="WWNum17"/>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92A55"/>
    <w:multiLevelType w:val="multilevel"/>
    <w:tmpl w:val="A246046E"/>
    <w:styleLink w:val="WWNum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1320DF"/>
    <w:multiLevelType w:val="multilevel"/>
    <w:tmpl w:val="6680C142"/>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905DD"/>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83F50"/>
    <w:multiLevelType w:val="multilevel"/>
    <w:tmpl w:val="8B3C1C80"/>
    <w:numStyleLink w:val="WWNum19"/>
  </w:abstractNum>
  <w:abstractNum w:abstractNumId="22" w15:restartNumberingAfterBreak="0">
    <w:nsid w:val="3A0A60D1"/>
    <w:multiLevelType w:val="hybridMultilevel"/>
    <w:tmpl w:val="185E3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97D14AD"/>
    <w:multiLevelType w:val="hybridMultilevel"/>
    <w:tmpl w:val="094AC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F5A7A"/>
    <w:multiLevelType w:val="hybridMultilevel"/>
    <w:tmpl w:val="0502782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421FE0"/>
    <w:multiLevelType w:val="hybridMultilevel"/>
    <w:tmpl w:val="D092EE8A"/>
    <w:lvl w:ilvl="0" w:tplc="04150017">
      <w:start w:val="1"/>
      <w:numFmt w:val="lowerLetter"/>
      <w:lvlText w:val="%1)"/>
      <w:lvlJc w:val="left"/>
      <w:pPr>
        <w:ind w:left="720" w:hanging="360"/>
      </w:pPr>
    </w:lvl>
    <w:lvl w:ilvl="1" w:tplc="B81E00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C5151"/>
    <w:multiLevelType w:val="hybridMultilevel"/>
    <w:tmpl w:val="5990606E"/>
    <w:lvl w:ilvl="0" w:tplc="E3245B26">
      <w:numFmt w:val="bullet"/>
      <w:lvlText w:val="•"/>
      <w:lvlJc w:val="left"/>
      <w:pPr>
        <w:ind w:left="786" w:hanging="360"/>
      </w:pPr>
      <w:rPr>
        <w:rFonts w:ascii="Calibri" w:eastAsia="SimSun" w:hAnsi="Calibri" w:cs="F"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7A50A84"/>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3D7642"/>
    <w:multiLevelType w:val="hybridMultilevel"/>
    <w:tmpl w:val="13B8FF10"/>
    <w:lvl w:ilvl="0" w:tplc="EFC85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EE2D0D"/>
    <w:multiLevelType w:val="multilevel"/>
    <w:tmpl w:val="07AA68D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1362" w:hanging="7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E147E32"/>
    <w:multiLevelType w:val="hybridMultilevel"/>
    <w:tmpl w:val="4B789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3157"/>
    <w:multiLevelType w:val="hybridMultilevel"/>
    <w:tmpl w:val="2DC8B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7599"/>
    <w:multiLevelType w:val="hybridMultilevel"/>
    <w:tmpl w:val="F2540464"/>
    <w:lvl w:ilvl="0" w:tplc="EFC8586E">
      <w:start w:val="1"/>
      <w:numFmt w:val="bullet"/>
      <w:lvlText w:val=""/>
      <w:lvlJc w:val="left"/>
      <w:pPr>
        <w:ind w:left="1429" w:hanging="360"/>
      </w:pPr>
      <w:rPr>
        <w:rFonts w:ascii="Symbol" w:hAnsi="Symbol" w:hint="default"/>
      </w:rPr>
    </w:lvl>
    <w:lvl w:ilvl="1" w:tplc="CAACAC68">
      <w:numFmt w:val="bullet"/>
      <w:lvlText w:val="•"/>
      <w:lvlJc w:val="left"/>
      <w:pPr>
        <w:ind w:left="2149" w:hanging="360"/>
      </w:pPr>
      <w:rPr>
        <w:rFonts w:ascii="Calibri" w:eastAsia="SimSun" w:hAnsi="Calibri" w:cs="F"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5366C05"/>
    <w:multiLevelType w:val="hybridMultilevel"/>
    <w:tmpl w:val="B422FFA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75AA4EBB"/>
    <w:multiLevelType w:val="hybridMultilevel"/>
    <w:tmpl w:val="422AAC80"/>
    <w:lvl w:ilvl="0" w:tplc="A15CC4A0">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68E022E"/>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33D2E"/>
    <w:multiLevelType w:val="multilevel"/>
    <w:tmpl w:val="86BE88D8"/>
    <w:styleLink w:val="WWNum22"/>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4"/>
  </w:num>
  <w:num w:numId="3">
    <w:abstractNumId w:val="23"/>
  </w:num>
  <w:num w:numId="4">
    <w:abstractNumId w:val="12"/>
  </w:num>
  <w:num w:numId="5">
    <w:abstractNumId w:val="30"/>
  </w:num>
  <w:num w:numId="6">
    <w:abstractNumId w:val="2"/>
  </w:num>
  <w:num w:numId="7">
    <w:abstractNumId w:val="32"/>
  </w:num>
  <w:num w:numId="8">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7"/>
  </w:num>
  <w:num w:numId="10">
    <w:abstractNumId w:val="5"/>
  </w:num>
  <w:num w:numId="11">
    <w:abstractNumId w:val="37"/>
  </w:num>
  <w:num w:numId="12">
    <w:abstractNumId w:val="18"/>
    <w:lvlOverride w:ilvl="0">
      <w:startOverride w:val="1"/>
    </w:lvlOverride>
  </w:num>
  <w:num w:numId="13">
    <w:abstractNumId w:val="18"/>
  </w:num>
  <w:num w:numId="14">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19">
    <w:abstractNumId w:val="0"/>
  </w:num>
  <w:num w:numId="20">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21">
    <w:abstractNumId w:val="10"/>
  </w:num>
  <w:num w:numId="22">
    <w:abstractNumId w:val="29"/>
  </w:num>
  <w:num w:numId="23">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highlight w:val="none"/>
          <w:vertAlign w:val="baseline"/>
          <w:lang w:val="en-US"/>
        </w:rPr>
      </w:lvl>
    </w:lvlOverride>
  </w:num>
  <w:num w:numId="24">
    <w:abstractNumId w:val="21"/>
  </w:num>
  <w:num w:numId="25">
    <w:abstractNumId w:val="6"/>
  </w:num>
  <w:num w:numId="26">
    <w:abstractNumId w:val="4"/>
  </w:num>
  <w:num w:numId="27">
    <w:abstractNumId w:val="3"/>
  </w:num>
  <w:num w:numId="28">
    <w:abstractNumId w:val="26"/>
  </w:num>
  <w:num w:numId="29">
    <w:abstractNumId w:val="33"/>
  </w:num>
  <w:num w:numId="30">
    <w:abstractNumId w:val="34"/>
  </w:num>
  <w:num w:numId="31">
    <w:abstractNumId w:val="1"/>
  </w:num>
  <w:num w:numId="32">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Theme="minorHAnsi" w:hAnsiTheme="minorHAnsi" w:hint="default"/>
          <w:b w:val="0"/>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9"/>
  </w:num>
  <w:num w:numId="34">
    <w:abstractNumId w:val="20"/>
  </w:num>
  <w:num w:numId="35">
    <w:abstractNumId w:val="13"/>
  </w:num>
  <w:num w:numId="36">
    <w:abstractNumId w:val="25"/>
  </w:num>
  <w:num w:numId="37">
    <w:abstractNumId w:val="9"/>
  </w:num>
  <w:num w:numId="38">
    <w:abstractNumId w:val="36"/>
  </w:num>
  <w:num w:numId="39">
    <w:abstractNumId w:val="27"/>
  </w:num>
  <w:num w:numId="40">
    <w:abstractNumId w:val="28"/>
  </w:num>
  <w:num w:numId="41">
    <w:abstractNumId w:val="16"/>
  </w:num>
  <w:num w:numId="42">
    <w:abstractNumId w:val="14"/>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E1"/>
    <w:rsid w:val="0000362E"/>
    <w:rsid w:val="00016417"/>
    <w:rsid w:val="00021A0B"/>
    <w:rsid w:val="000276A0"/>
    <w:rsid w:val="00030975"/>
    <w:rsid w:val="00035D6E"/>
    <w:rsid w:val="00035EFA"/>
    <w:rsid w:val="00035F42"/>
    <w:rsid w:val="000507B4"/>
    <w:rsid w:val="000527F1"/>
    <w:rsid w:val="000649BA"/>
    <w:rsid w:val="00066F8E"/>
    <w:rsid w:val="00072406"/>
    <w:rsid w:val="0008153F"/>
    <w:rsid w:val="000A043E"/>
    <w:rsid w:val="000A0A39"/>
    <w:rsid w:val="000A6F2B"/>
    <w:rsid w:val="000B23AB"/>
    <w:rsid w:val="000B33BD"/>
    <w:rsid w:val="000C255B"/>
    <w:rsid w:val="000D3C79"/>
    <w:rsid w:val="000E0FA4"/>
    <w:rsid w:val="000E5DFA"/>
    <w:rsid w:val="000F1022"/>
    <w:rsid w:val="000F5D81"/>
    <w:rsid w:val="000F74B1"/>
    <w:rsid w:val="001067B6"/>
    <w:rsid w:val="00110CB8"/>
    <w:rsid w:val="0011433C"/>
    <w:rsid w:val="00114954"/>
    <w:rsid w:val="00126C73"/>
    <w:rsid w:val="00126E8E"/>
    <w:rsid w:val="00140386"/>
    <w:rsid w:val="00173382"/>
    <w:rsid w:val="0017627F"/>
    <w:rsid w:val="00176C6C"/>
    <w:rsid w:val="001929D1"/>
    <w:rsid w:val="001A478D"/>
    <w:rsid w:val="001A566F"/>
    <w:rsid w:val="001A7FAE"/>
    <w:rsid w:val="001B3286"/>
    <w:rsid w:val="001C48B0"/>
    <w:rsid w:val="001D682D"/>
    <w:rsid w:val="001D749D"/>
    <w:rsid w:val="00202939"/>
    <w:rsid w:val="00213FE6"/>
    <w:rsid w:val="002215D1"/>
    <w:rsid w:val="002267EF"/>
    <w:rsid w:val="00231778"/>
    <w:rsid w:val="00232F47"/>
    <w:rsid w:val="002425FD"/>
    <w:rsid w:val="00245B60"/>
    <w:rsid w:val="002547D9"/>
    <w:rsid w:val="002569BF"/>
    <w:rsid w:val="00257BF7"/>
    <w:rsid w:val="00267542"/>
    <w:rsid w:val="00275C44"/>
    <w:rsid w:val="00280195"/>
    <w:rsid w:val="00291E4F"/>
    <w:rsid w:val="00292221"/>
    <w:rsid w:val="002A1F46"/>
    <w:rsid w:val="002E055A"/>
    <w:rsid w:val="002E7612"/>
    <w:rsid w:val="00302780"/>
    <w:rsid w:val="00303E59"/>
    <w:rsid w:val="0031000E"/>
    <w:rsid w:val="00311ADD"/>
    <w:rsid w:val="003153F2"/>
    <w:rsid w:val="00315478"/>
    <w:rsid w:val="00317059"/>
    <w:rsid w:val="003218B9"/>
    <w:rsid w:val="00327D9A"/>
    <w:rsid w:val="003526DC"/>
    <w:rsid w:val="0035277B"/>
    <w:rsid w:val="00352F4B"/>
    <w:rsid w:val="003536D0"/>
    <w:rsid w:val="00371DDA"/>
    <w:rsid w:val="00376BAA"/>
    <w:rsid w:val="00384E24"/>
    <w:rsid w:val="0039311F"/>
    <w:rsid w:val="00395E4F"/>
    <w:rsid w:val="00395FF6"/>
    <w:rsid w:val="003A31BE"/>
    <w:rsid w:val="003A3B8C"/>
    <w:rsid w:val="003B0D52"/>
    <w:rsid w:val="003B32F4"/>
    <w:rsid w:val="003B79CA"/>
    <w:rsid w:val="003C7368"/>
    <w:rsid w:val="003D1C95"/>
    <w:rsid w:val="003E6FB5"/>
    <w:rsid w:val="003F4B4B"/>
    <w:rsid w:val="003F6748"/>
    <w:rsid w:val="0040330E"/>
    <w:rsid w:val="004043CC"/>
    <w:rsid w:val="00405E24"/>
    <w:rsid w:val="00407C3E"/>
    <w:rsid w:val="004279A0"/>
    <w:rsid w:val="00430AE0"/>
    <w:rsid w:val="00430BED"/>
    <w:rsid w:val="00437C0E"/>
    <w:rsid w:val="0044250A"/>
    <w:rsid w:val="00444ED6"/>
    <w:rsid w:val="004574C6"/>
    <w:rsid w:val="00462591"/>
    <w:rsid w:val="00472E1E"/>
    <w:rsid w:val="00476DDD"/>
    <w:rsid w:val="00480C16"/>
    <w:rsid w:val="00481659"/>
    <w:rsid w:val="004855C0"/>
    <w:rsid w:val="00486A13"/>
    <w:rsid w:val="00492C52"/>
    <w:rsid w:val="0049508B"/>
    <w:rsid w:val="004A0B9B"/>
    <w:rsid w:val="004A21B3"/>
    <w:rsid w:val="004B275B"/>
    <w:rsid w:val="004B4F89"/>
    <w:rsid w:val="004B557B"/>
    <w:rsid w:val="004B57AF"/>
    <w:rsid w:val="004C1A36"/>
    <w:rsid w:val="004C2571"/>
    <w:rsid w:val="004E5EF9"/>
    <w:rsid w:val="005030BF"/>
    <w:rsid w:val="0050422E"/>
    <w:rsid w:val="0050713E"/>
    <w:rsid w:val="005144F1"/>
    <w:rsid w:val="00514F7F"/>
    <w:rsid w:val="00527E54"/>
    <w:rsid w:val="00532754"/>
    <w:rsid w:val="00540045"/>
    <w:rsid w:val="005449E3"/>
    <w:rsid w:val="0055419F"/>
    <w:rsid w:val="00554F66"/>
    <w:rsid w:val="00557B3B"/>
    <w:rsid w:val="00562A7F"/>
    <w:rsid w:val="00567987"/>
    <w:rsid w:val="0057570E"/>
    <w:rsid w:val="0057672A"/>
    <w:rsid w:val="005772A2"/>
    <w:rsid w:val="00580082"/>
    <w:rsid w:val="005A2B61"/>
    <w:rsid w:val="005A7A0D"/>
    <w:rsid w:val="005B14C6"/>
    <w:rsid w:val="005B3ECC"/>
    <w:rsid w:val="005B6F33"/>
    <w:rsid w:val="005D2C2B"/>
    <w:rsid w:val="005D4916"/>
    <w:rsid w:val="005D6980"/>
    <w:rsid w:val="005E11C7"/>
    <w:rsid w:val="005E24F7"/>
    <w:rsid w:val="005E40D6"/>
    <w:rsid w:val="005E752B"/>
    <w:rsid w:val="005E7E9E"/>
    <w:rsid w:val="005F1CB1"/>
    <w:rsid w:val="005F2542"/>
    <w:rsid w:val="005F6F31"/>
    <w:rsid w:val="006007AE"/>
    <w:rsid w:val="00611849"/>
    <w:rsid w:val="00616D74"/>
    <w:rsid w:val="006234AA"/>
    <w:rsid w:val="006238C9"/>
    <w:rsid w:val="006327FE"/>
    <w:rsid w:val="006348EC"/>
    <w:rsid w:val="006349B4"/>
    <w:rsid w:val="00634A7D"/>
    <w:rsid w:val="00655BFF"/>
    <w:rsid w:val="00655ECC"/>
    <w:rsid w:val="00657B31"/>
    <w:rsid w:val="006607DF"/>
    <w:rsid w:val="00662E35"/>
    <w:rsid w:val="0066544B"/>
    <w:rsid w:val="00674AA0"/>
    <w:rsid w:val="00681044"/>
    <w:rsid w:val="00682F44"/>
    <w:rsid w:val="00697DA6"/>
    <w:rsid w:val="006C24BE"/>
    <w:rsid w:val="006C4FFA"/>
    <w:rsid w:val="006D0872"/>
    <w:rsid w:val="006D7C2E"/>
    <w:rsid w:val="00700275"/>
    <w:rsid w:val="007039E5"/>
    <w:rsid w:val="0071098D"/>
    <w:rsid w:val="007156C4"/>
    <w:rsid w:val="00724272"/>
    <w:rsid w:val="00731397"/>
    <w:rsid w:val="007416EC"/>
    <w:rsid w:val="007421D1"/>
    <w:rsid w:val="007431AD"/>
    <w:rsid w:val="0074691F"/>
    <w:rsid w:val="0075508B"/>
    <w:rsid w:val="007676FD"/>
    <w:rsid w:val="00774D9C"/>
    <w:rsid w:val="0078141A"/>
    <w:rsid w:val="0078463E"/>
    <w:rsid w:val="007854A5"/>
    <w:rsid w:val="0078637E"/>
    <w:rsid w:val="00796AE1"/>
    <w:rsid w:val="007A085A"/>
    <w:rsid w:val="007A0E2E"/>
    <w:rsid w:val="007A3F82"/>
    <w:rsid w:val="007B4D83"/>
    <w:rsid w:val="007B60E9"/>
    <w:rsid w:val="007C503E"/>
    <w:rsid w:val="007C6209"/>
    <w:rsid w:val="007D2C03"/>
    <w:rsid w:val="007D46DC"/>
    <w:rsid w:val="007D547D"/>
    <w:rsid w:val="007F0F16"/>
    <w:rsid w:val="007F2D54"/>
    <w:rsid w:val="008056F0"/>
    <w:rsid w:val="008179D3"/>
    <w:rsid w:val="00820549"/>
    <w:rsid w:val="008303AE"/>
    <w:rsid w:val="00841C39"/>
    <w:rsid w:val="008515FE"/>
    <w:rsid w:val="00851926"/>
    <w:rsid w:val="008534FF"/>
    <w:rsid w:val="008609C5"/>
    <w:rsid w:val="00874449"/>
    <w:rsid w:val="00884FF8"/>
    <w:rsid w:val="00886639"/>
    <w:rsid w:val="00890894"/>
    <w:rsid w:val="00891BA9"/>
    <w:rsid w:val="008A78B6"/>
    <w:rsid w:val="008B3E49"/>
    <w:rsid w:val="008C1C0D"/>
    <w:rsid w:val="008C5AE7"/>
    <w:rsid w:val="008C7C94"/>
    <w:rsid w:val="008D2521"/>
    <w:rsid w:val="008D3855"/>
    <w:rsid w:val="008D7B62"/>
    <w:rsid w:val="008E2A12"/>
    <w:rsid w:val="008E77AB"/>
    <w:rsid w:val="008E7D97"/>
    <w:rsid w:val="008F12A5"/>
    <w:rsid w:val="008F175E"/>
    <w:rsid w:val="008F1A53"/>
    <w:rsid w:val="008F524C"/>
    <w:rsid w:val="00901A5C"/>
    <w:rsid w:val="00902D08"/>
    <w:rsid w:val="009078F4"/>
    <w:rsid w:val="009167E2"/>
    <w:rsid w:val="00917F32"/>
    <w:rsid w:val="00922DAB"/>
    <w:rsid w:val="00924BFF"/>
    <w:rsid w:val="00934E17"/>
    <w:rsid w:val="009367C1"/>
    <w:rsid w:val="0094104A"/>
    <w:rsid w:val="009416F1"/>
    <w:rsid w:val="00941980"/>
    <w:rsid w:val="00944BDF"/>
    <w:rsid w:val="00957A03"/>
    <w:rsid w:val="009626B8"/>
    <w:rsid w:val="0096695F"/>
    <w:rsid w:val="00973269"/>
    <w:rsid w:val="009768B4"/>
    <w:rsid w:val="00976C10"/>
    <w:rsid w:val="00977BF8"/>
    <w:rsid w:val="00987568"/>
    <w:rsid w:val="00996528"/>
    <w:rsid w:val="009A31CE"/>
    <w:rsid w:val="009B2108"/>
    <w:rsid w:val="009B7641"/>
    <w:rsid w:val="009C41FC"/>
    <w:rsid w:val="00A12715"/>
    <w:rsid w:val="00A16152"/>
    <w:rsid w:val="00A36C3D"/>
    <w:rsid w:val="00A42E0D"/>
    <w:rsid w:val="00A43FC2"/>
    <w:rsid w:val="00A5375E"/>
    <w:rsid w:val="00A65805"/>
    <w:rsid w:val="00A90585"/>
    <w:rsid w:val="00A9713F"/>
    <w:rsid w:val="00AB04B0"/>
    <w:rsid w:val="00AB0E2B"/>
    <w:rsid w:val="00AC4AB4"/>
    <w:rsid w:val="00AC4D7E"/>
    <w:rsid w:val="00AD0E0D"/>
    <w:rsid w:val="00AD39D9"/>
    <w:rsid w:val="00AD54C0"/>
    <w:rsid w:val="00AE3727"/>
    <w:rsid w:val="00AE60F7"/>
    <w:rsid w:val="00AF133F"/>
    <w:rsid w:val="00AF33D2"/>
    <w:rsid w:val="00B2140C"/>
    <w:rsid w:val="00B23F67"/>
    <w:rsid w:val="00B25D67"/>
    <w:rsid w:val="00B26FD8"/>
    <w:rsid w:val="00B326FA"/>
    <w:rsid w:val="00B34309"/>
    <w:rsid w:val="00B465B3"/>
    <w:rsid w:val="00B53F42"/>
    <w:rsid w:val="00B5419C"/>
    <w:rsid w:val="00B625C2"/>
    <w:rsid w:val="00B65BD0"/>
    <w:rsid w:val="00B65EEC"/>
    <w:rsid w:val="00B75351"/>
    <w:rsid w:val="00B776EC"/>
    <w:rsid w:val="00B806F9"/>
    <w:rsid w:val="00B86F93"/>
    <w:rsid w:val="00BA5591"/>
    <w:rsid w:val="00BA59E8"/>
    <w:rsid w:val="00BB38C0"/>
    <w:rsid w:val="00BC166D"/>
    <w:rsid w:val="00BD1A0C"/>
    <w:rsid w:val="00BE0806"/>
    <w:rsid w:val="00BE6D87"/>
    <w:rsid w:val="00C059BC"/>
    <w:rsid w:val="00C109E1"/>
    <w:rsid w:val="00C17096"/>
    <w:rsid w:val="00C23FED"/>
    <w:rsid w:val="00C32320"/>
    <w:rsid w:val="00C44298"/>
    <w:rsid w:val="00C44E68"/>
    <w:rsid w:val="00C4506D"/>
    <w:rsid w:val="00C64F1B"/>
    <w:rsid w:val="00C66C71"/>
    <w:rsid w:val="00C67CCF"/>
    <w:rsid w:val="00C72D2A"/>
    <w:rsid w:val="00C72ECA"/>
    <w:rsid w:val="00C862F7"/>
    <w:rsid w:val="00C8761F"/>
    <w:rsid w:val="00C90668"/>
    <w:rsid w:val="00CB2F58"/>
    <w:rsid w:val="00CC1B83"/>
    <w:rsid w:val="00CC6BD2"/>
    <w:rsid w:val="00CC72B4"/>
    <w:rsid w:val="00CD2F16"/>
    <w:rsid w:val="00CE17B1"/>
    <w:rsid w:val="00CE48AD"/>
    <w:rsid w:val="00CF38AC"/>
    <w:rsid w:val="00D105E4"/>
    <w:rsid w:val="00D2115F"/>
    <w:rsid w:val="00D30590"/>
    <w:rsid w:val="00D3548C"/>
    <w:rsid w:val="00D50F3D"/>
    <w:rsid w:val="00D54048"/>
    <w:rsid w:val="00D6133C"/>
    <w:rsid w:val="00D62A77"/>
    <w:rsid w:val="00D64A3B"/>
    <w:rsid w:val="00D66666"/>
    <w:rsid w:val="00D67436"/>
    <w:rsid w:val="00D76056"/>
    <w:rsid w:val="00D92F8A"/>
    <w:rsid w:val="00DA356D"/>
    <w:rsid w:val="00DA484E"/>
    <w:rsid w:val="00DD2C10"/>
    <w:rsid w:val="00DE78F1"/>
    <w:rsid w:val="00DE7F40"/>
    <w:rsid w:val="00DF425B"/>
    <w:rsid w:val="00DF4D08"/>
    <w:rsid w:val="00E03D10"/>
    <w:rsid w:val="00E10778"/>
    <w:rsid w:val="00E1616A"/>
    <w:rsid w:val="00E16AB7"/>
    <w:rsid w:val="00E35448"/>
    <w:rsid w:val="00E51D9B"/>
    <w:rsid w:val="00E67DD4"/>
    <w:rsid w:val="00E76062"/>
    <w:rsid w:val="00E814F3"/>
    <w:rsid w:val="00E817A4"/>
    <w:rsid w:val="00E904F2"/>
    <w:rsid w:val="00E9547E"/>
    <w:rsid w:val="00EA5217"/>
    <w:rsid w:val="00EB13A2"/>
    <w:rsid w:val="00EB2187"/>
    <w:rsid w:val="00EC123C"/>
    <w:rsid w:val="00ED5770"/>
    <w:rsid w:val="00EE637F"/>
    <w:rsid w:val="00EE6C49"/>
    <w:rsid w:val="00EE6D9E"/>
    <w:rsid w:val="00F07F3F"/>
    <w:rsid w:val="00F3757E"/>
    <w:rsid w:val="00F52384"/>
    <w:rsid w:val="00F52CDC"/>
    <w:rsid w:val="00F55FA0"/>
    <w:rsid w:val="00F66E77"/>
    <w:rsid w:val="00F71846"/>
    <w:rsid w:val="00F76745"/>
    <w:rsid w:val="00F82568"/>
    <w:rsid w:val="00F8323B"/>
    <w:rsid w:val="00F85D35"/>
    <w:rsid w:val="00F9022A"/>
    <w:rsid w:val="00F91938"/>
    <w:rsid w:val="00F92910"/>
    <w:rsid w:val="00FA5D29"/>
    <w:rsid w:val="00FB04B2"/>
    <w:rsid w:val="00FE5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AA290"/>
  <w15:chartTrackingRefBased/>
  <w15:docId w15:val="{BE5F7233-3459-4A11-ACBF-44501D1E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FA4"/>
    <w:rPr>
      <w:sz w:val="24"/>
      <w:szCs w:val="24"/>
    </w:rPr>
  </w:style>
  <w:style w:type="paragraph" w:styleId="Nagwek1">
    <w:name w:val="heading 1"/>
    <w:basedOn w:val="Normalny"/>
    <w:next w:val="Normalny"/>
    <w:qFormat/>
    <w:pPr>
      <w:keepNext/>
      <w:outlineLvl w:val="0"/>
    </w:pPr>
    <w:rPr>
      <w:rFonts w:ascii="Myriad Pro" w:hAnsi="Myriad Pro"/>
      <w:b/>
    </w:rPr>
  </w:style>
  <w:style w:type="paragraph" w:styleId="Nagwek6">
    <w:name w:val="heading 6"/>
    <w:basedOn w:val="Normalny"/>
    <w:next w:val="Normalny"/>
    <w:link w:val="Nagwek6Znak"/>
    <w:qFormat/>
    <w:pPr>
      <w:keepNext/>
      <w:tabs>
        <w:tab w:val="left" w:pos="709"/>
      </w:tabs>
      <w:outlineLvl w:val="5"/>
    </w:pPr>
    <w:rPr>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semiHidden/>
    <w:pPr>
      <w:tabs>
        <w:tab w:val="center" w:pos="4536"/>
        <w:tab w:val="right" w:pos="9072"/>
      </w:tabs>
    </w:pPr>
  </w:style>
  <w:style w:type="paragraph" w:styleId="Tekstprzypisukocowego">
    <w:name w:val="endnote text"/>
    <w:basedOn w:val="Normalny"/>
    <w:semiHidden/>
    <w:rPr>
      <w:sz w:val="20"/>
      <w:szCs w:val="20"/>
    </w:rPr>
  </w:style>
  <w:style w:type="character" w:styleId="Hipercze">
    <w:name w:val="Hyperlink"/>
    <w:semiHidden/>
    <w:rPr>
      <w:color w:val="0000FF"/>
      <w:u w:val="single"/>
    </w:rPr>
  </w:style>
  <w:style w:type="character" w:customStyle="1" w:styleId="NagwekZnak">
    <w:name w:val="Nagłówek Znak"/>
    <w:link w:val="Nagwek"/>
    <w:rsid w:val="00657B31"/>
    <w:rPr>
      <w:sz w:val="24"/>
      <w:szCs w:val="24"/>
    </w:rPr>
  </w:style>
  <w:style w:type="paragraph" w:styleId="Tekstdymka">
    <w:name w:val="Balloon Text"/>
    <w:basedOn w:val="Normalny"/>
    <w:link w:val="TekstdymkaZnak"/>
    <w:uiPriority w:val="99"/>
    <w:semiHidden/>
    <w:unhideWhenUsed/>
    <w:rsid w:val="00657B31"/>
    <w:rPr>
      <w:rFonts w:ascii="Tahoma" w:hAnsi="Tahoma"/>
      <w:sz w:val="16"/>
      <w:szCs w:val="16"/>
      <w:lang w:val="x-none" w:eastAsia="x-none"/>
    </w:rPr>
  </w:style>
  <w:style w:type="character" w:customStyle="1" w:styleId="TekstdymkaZnak">
    <w:name w:val="Tekst dymka Znak"/>
    <w:link w:val="Tekstdymka"/>
    <w:uiPriority w:val="99"/>
    <w:semiHidden/>
    <w:rsid w:val="00657B31"/>
    <w:rPr>
      <w:rFonts w:ascii="Tahoma" w:hAnsi="Tahoma" w:cs="Tahoma"/>
      <w:sz w:val="16"/>
      <w:szCs w:val="16"/>
    </w:rPr>
  </w:style>
  <w:style w:type="character" w:styleId="Odwoanieprzypisukocowego">
    <w:name w:val="endnote reference"/>
    <w:uiPriority w:val="99"/>
    <w:semiHidden/>
    <w:unhideWhenUsed/>
    <w:rsid w:val="00C4506D"/>
    <w:rPr>
      <w:vertAlign w:val="superscript"/>
    </w:rPr>
  </w:style>
  <w:style w:type="character" w:customStyle="1" w:styleId="Nagwek6Znak">
    <w:name w:val="Nagłówek 6 Znak"/>
    <w:link w:val="Nagwek6"/>
    <w:rsid w:val="00D30590"/>
    <w:rPr>
      <w:sz w:val="24"/>
    </w:rPr>
  </w:style>
  <w:style w:type="paragraph" w:styleId="Tekstprzypisudolnego">
    <w:name w:val="footnote text"/>
    <w:aliases w:val="Podrozdział,Footnote,Podrozdzia3"/>
    <w:basedOn w:val="Normalny"/>
    <w:link w:val="TekstprzypisudolnegoZnak"/>
    <w:uiPriority w:val="99"/>
    <w:semiHidden/>
    <w:rsid w:val="004043CC"/>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043CC"/>
  </w:style>
  <w:style w:type="character" w:styleId="Odwoanieprzypisudolnego">
    <w:name w:val="footnote reference"/>
    <w:uiPriority w:val="99"/>
    <w:semiHidden/>
    <w:rsid w:val="004043CC"/>
    <w:rPr>
      <w:vertAlign w:val="superscript"/>
    </w:rPr>
  </w:style>
  <w:style w:type="paragraph" w:styleId="Akapitzlist">
    <w:name w:val="List Paragraph"/>
    <w:aliases w:val="Wypunktowanie,lp1,Preambuła,Tytuły,Lista num"/>
    <w:basedOn w:val="Normalny"/>
    <w:link w:val="AkapitzlistZnak"/>
    <w:uiPriority w:val="34"/>
    <w:qFormat/>
    <w:rsid w:val="004043CC"/>
    <w:pPr>
      <w:ind w:left="720"/>
      <w:contextualSpacing/>
    </w:pPr>
    <w:rPr>
      <w:sz w:val="20"/>
      <w:szCs w:val="20"/>
    </w:rPr>
  </w:style>
  <w:style w:type="numbering" w:customStyle="1" w:styleId="WWNum6">
    <w:name w:val="WWNum6"/>
    <w:basedOn w:val="Bezlisty"/>
    <w:rsid w:val="00A9713F"/>
    <w:pPr>
      <w:numPr>
        <w:numId w:val="13"/>
      </w:numPr>
    </w:pPr>
  </w:style>
  <w:style w:type="numbering" w:customStyle="1" w:styleId="WWNum17">
    <w:name w:val="WWNum17"/>
    <w:basedOn w:val="Bezlisty"/>
    <w:rsid w:val="00A9713F"/>
    <w:pPr>
      <w:numPr>
        <w:numId w:val="9"/>
      </w:numPr>
    </w:pPr>
  </w:style>
  <w:style w:type="numbering" w:customStyle="1" w:styleId="WWNum19">
    <w:name w:val="WWNum19"/>
    <w:basedOn w:val="Bezlisty"/>
    <w:rsid w:val="00A9713F"/>
    <w:pPr>
      <w:numPr>
        <w:numId w:val="10"/>
      </w:numPr>
    </w:pPr>
  </w:style>
  <w:style w:type="numbering" w:customStyle="1" w:styleId="WWNum22">
    <w:name w:val="WWNum22"/>
    <w:basedOn w:val="Bezlisty"/>
    <w:rsid w:val="00A9713F"/>
    <w:pPr>
      <w:numPr>
        <w:numId w:val="11"/>
      </w:numPr>
    </w:pPr>
  </w:style>
  <w:style w:type="character" w:styleId="Odwoaniedokomentarza">
    <w:name w:val="annotation reference"/>
    <w:uiPriority w:val="99"/>
    <w:unhideWhenUsed/>
    <w:rsid w:val="00EE6D9E"/>
    <w:rPr>
      <w:sz w:val="16"/>
      <w:szCs w:val="16"/>
    </w:rPr>
  </w:style>
  <w:style w:type="paragraph" w:styleId="Tekstkomentarza">
    <w:name w:val="annotation text"/>
    <w:basedOn w:val="Normalny"/>
    <w:link w:val="TekstkomentarzaZnak"/>
    <w:uiPriority w:val="99"/>
    <w:unhideWhenUsed/>
    <w:rsid w:val="00EE6D9E"/>
    <w:rPr>
      <w:sz w:val="20"/>
      <w:szCs w:val="20"/>
    </w:rPr>
  </w:style>
  <w:style w:type="character" w:customStyle="1" w:styleId="TekstkomentarzaZnak">
    <w:name w:val="Tekst komentarza Znak"/>
    <w:basedOn w:val="Domylnaczcionkaakapitu"/>
    <w:link w:val="Tekstkomentarza"/>
    <w:uiPriority w:val="99"/>
    <w:semiHidden/>
    <w:rsid w:val="00EE6D9E"/>
  </w:style>
  <w:style w:type="paragraph" w:styleId="Tematkomentarza">
    <w:name w:val="annotation subject"/>
    <w:basedOn w:val="Tekstkomentarza"/>
    <w:next w:val="Tekstkomentarza"/>
    <w:link w:val="TematkomentarzaZnak"/>
    <w:uiPriority w:val="99"/>
    <w:semiHidden/>
    <w:unhideWhenUsed/>
    <w:rsid w:val="00EE6D9E"/>
    <w:rPr>
      <w:b/>
      <w:bCs/>
      <w:lang w:val="x-none" w:eastAsia="x-none"/>
    </w:rPr>
  </w:style>
  <w:style w:type="character" w:customStyle="1" w:styleId="TematkomentarzaZnak">
    <w:name w:val="Temat komentarza Znak"/>
    <w:link w:val="Tematkomentarza"/>
    <w:uiPriority w:val="99"/>
    <w:semiHidden/>
    <w:rsid w:val="00EE6D9E"/>
    <w:rPr>
      <w:b/>
      <w:bCs/>
    </w:rPr>
  </w:style>
  <w:style w:type="paragraph" w:styleId="Tekstpodstawowy">
    <w:name w:val="Body Text"/>
    <w:basedOn w:val="Normalny"/>
    <w:link w:val="TekstpodstawowyZnak"/>
    <w:uiPriority w:val="1"/>
    <w:qFormat/>
    <w:rsid w:val="007D46DC"/>
    <w:pPr>
      <w:widowControl w:val="0"/>
      <w:autoSpaceDE w:val="0"/>
      <w:autoSpaceDN w:val="0"/>
      <w:adjustRightInd w:val="0"/>
      <w:ind w:left="965"/>
    </w:pPr>
    <w:rPr>
      <w:rFonts w:ascii="Calibri" w:hAnsi="Calibri" w:cs="Calibri"/>
      <w:sz w:val="22"/>
      <w:szCs w:val="22"/>
    </w:rPr>
  </w:style>
  <w:style w:type="character" w:customStyle="1" w:styleId="TekstpodstawowyZnak">
    <w:name w:val="Tekst podstawowy Znak"/>
    <w:link w:val="Tekstpodstawowy"/>
    <w:uiPriority w:val="1"/>
    <w:rsid w:val="007D46DC"/>
    <w:rPr>
      <w:rFonts w:ascii="Calibri" w:hAnsi="Calibri" w:cs="Calibri"/>
      <w:sz w:val="22"/>
      <w:szCs w:val="22"/>
    </w:rPr>
  </w:style>
  <w:style w:type="character" w:styleId="Uwydatnienie">
    <w:name w:val="Emphasis"/>
    <w:uiPriority w:val="20"/>
    <w:qFormat/>
    <w:rsid w:val="007D46DC"/>
    <w:rPr>
      <w:b/>
      <w:bCs/>
      <w:i w:val="0"/>
      <w:iCs w:val="0"/>
    </w:rPr>
  </w:style>
  <w:style w:type="character" w:customStyle="1" w:styleId="st1">
    <w:name w:val="st1"/>
    <w:rsid w:val="007D46DC"/>
  </w:style>
  <w:style w:type="numbering" w:customStyle="1" w:styleId="WWNum61">
    <w:name w:val="WWNum61"/>
    <w:rsid w:val="00A90585"/>
    <w:pPr>
      <w:numPr>
        <w:numId w:val="17"/>
      </w:numPr>
    </w:pPr>
  </w:style>
  <w:style w:type="character" w:customStyle="1" w:styleId="Nierozpoznanawzmianka1">
    <w:name w:val="Nierozpoznana wzmianka1"/>
    <w:uiPriority w:val="99"/>
    <w:semiHidden/>
    <w:unhideWhenUsed/>
    <w:rsid w:val="00A36C3D"/>
    <w:rPr>
      <w:color w:val="808080"/>
      <w:shd w:val="clear" w:color="auto" w:fill="E6E6E6"/>
    </w:rPr>
  </w:style>
  <w:style w:type="numbering" w:customStyle="1" w:styleId="WWNum62">
    <w:name w:val="WWNum62"/>
    <w:basedOn w:val="Bezlisty"/>
    <w:rsid w:val="000E0FA4"/>
  </w:style>
  <w:style w:type="character" w:customStyle="1" w:styleId="AkapitzlistZnak">
    <w:name w:val="Akapit z listą Znak"/>
    <w:aliases w:val="Wypunktowanie Znak,lp1 Znak,Preambuła Znak,Tytuły Znak,Lista num Znak"/>
    <w:link w:val="Akapitzlist"/>
    <w:uiPriority w:val="34"/>
    <w:qFormat/>
    <w:locked/>
    <w:rsid w:val="00E1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3092">
      <w:bodyDiv w:val="1"/>
      <w:marLeft w:val="0"/>
      <w:marRight w:val="0"/>
      <w:marTop w:val="0"/>
      <w:marBottom w:val="0"/>
      <w:divBdr>
        <w:top w:val="none" w:sz="0" w:space="0" w:color="auto"/>
        <w:left w:val="none" w:sz="0" w:space="0" w:color="auto"/>
        <w:bottom w:val="none" w:sz="0" w:space="0" w:color="auto"/>
        <w:right w:val="none" w:sz="0" w:space="0" w:color="auto"/>
      </w:divBdr>
    </w:div>
    <w:div w:id="1605065580">
      <w:bodyDiv w:val="1"/>
      <w:marLeft w:val="0"/>
      <w:marRight w:val="0"/>
      <w:marTop w:val="0"/>
      <w:marBottom w:val="0"/>
      <w:divBdr>
        <w:top w:val="none" w:sz="0" w:space="0" w:color="auto"/>
        <w:left w:val="none" w:sz="0" w:space="0" w:color="auto"/>
        <w:bottom w:val="none" w:sz="0" w:space="0" w:color="auto"/>
        <w:right w:val="none" w:sz="0" w:space="0" w:color="auto"/>
      </w:divBdr>
    </w:div>
    <w:div w:id="21279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879C-948E-4345-AC44-9247D761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2416</Words>
  <Characters>14497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DPR-II-4/0725/67/07</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subject/>
  <dc:creator>LAPTOP</dc:creator>
  <cp:keywords/>
  <cp:lastModifiedBy>GJW</cp:lastModifiedBy>
  <cp:revision>14</cp:revision>
  <cp:lastPrinted>2017-02-21T22:22:00Z</cp:lastPrinted>
  <dcterms:created xsi:type="dcterms:W3CDTF">2019-07-08T12:32:00Z</dcterms:created>
  <dcterms:modified xsi:type="dcterms:W3CDTF">2020-02-05T09:28:00Z</dcterms:modified>
</cp:coreProperties>
</file>